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79657" w14:textId="156BD6DD" w:rsidR="00106304" w:rsidRPr="001C2AAF" w:rsidRDefault="007C14F8" w:rsidP="001C2AAF">
      <w:pPr>
        <w:spacing w:after="0" w:line="240" w:lineRule="auto"/>
        <w:jc w:val="center"/>
        <w:rPr>
          <w:rFonts w:asciiTheme="minorBidi" w:eastAsia="Times New Roman" w:hAnsiTheme="minorBidi" w:cs="Times New Roman"/>
          <w:b/>
          <w:bCs/>
          <w:sz w:val="26"/>
          <w:szCs w:val="26"/>
          <w:shd w:val="clear" w:color="auto" w:fill="FFFFFF"/>
          <w:lang w:eastAsia="en-GB"/>
        </w:rPr>
      </w:pPr>
      <w:r w:rsidRPr="001C2AAF">
        <w:rPr>
          <w:rFonts w:asciiTheme="minorBidi" w:eastAsia="Times New Roman" w:hAnsiTheme="minorBidi" w:cs="Times New Roman"/>
          <w:b/>
          <w:bCs/>
          <w:sz w:val="26"/>
          <w:szCs w:val="26"/>
          <w:shd w:val="clear" w:color="auto" w:fill="FFFFFF"/>
          <w:lang w:eastAsia="en-GB"/>
        </w:rPr>
        <w:t>Identifying S</w:t>
      </w:r>
      <w:r w:rsidR="00106304" w:rsidRPr="001C2AAF">
        <w:rPr>
          <w:rFonts w:asciiTheme="minorBidi" w:eastAsia="Times New Roman" w:hAnsiTheme="minorBidi" w:cs="Times New Roman"/>
          <w:b/>
          <w:bCs/>
          <w:sz w:val="26"/>
          <w:szCs w:val="26"/>
          <w:shd w:val="clear" w:color="auto" w:fill="FFFFFF"/>
          <w:lang w:eastAsia="en-GB"/>
        </w:rPr>
        <w:t xml:space="preserve">ocio-economic </w:t>
      </w:r>
      <w:r w:rsidRPr="001C2AAF">
        <w:rPr>
          <w:rFonts w:asciiTheme="minorBidi" w:eastAsia="Times New Roman" w:hAnsiTheme="minorBidi" w:cs="Times New Roman"/>
          <w:b/>
          <w:bCs/>
          <w:sz w:val="26"/>
          <w:szCs w:val="26"/>
          <w:shd w:val="clear" w:color="auto" w:fill="FFFFFF"/>
          <w:lang w:eastAsia="en-GB"/>
        </w:rPr>
        <w:t>B</w:t>
      </w:r>
      <w:r w:rsidR="00106304" w:rsidRPr="001C2AAF">
        <w:rPr>
          <w:rFonts w:asciiTheme="minorBidi" w:eastAsia="Times New Roman" w:hAnsiTheme="minorBidi" w:cs="Times New Roman"/>
          <w:b/>
          <w:bCs/>
          <w:sz w:val="26"/>
          <w:szCs w:val="26"/>
          <w:shd w:val="clear" w:color="auto" w:fill="FFFFFF"/>
          <w:lang w:eastAsia="en-GB"/>
        </w:rPr>
        <w:t xml:space="preserve">arriers to </w:t>
      </w:r>
      <w:r w:rsidRPr="001C2AAF">
        <w:rPr>
          <w:rFonts w:asciiTheme="minorBidi" w:eastAsia="Times New Roman" w:hAnsiTheme="minorBidi" w:cs="Times New Roman"/>
          <w:b/>
          <w:bCs/>
          <w:sz w:val="26"/>
          <w:szCs w:val="26"/>
          <w:shd w:val="clear" w:color="auto" w:fill="FFFFFF"/>
          <w:lang w:eastAsia="en-GB"/>
        </w:rPr>
        <w:t>H</w:t>
      </w:r>
      <w:r w:rsidR="00106304" w:rsidRPr="001C2AAF">
        <w:rPr>
          <w:rFonts w:asciiTheme="minorBidi" w:eastAsia="Times New Roman" w:hAnsiTheme="minorBidi" w:cs="Times New Roman"/>
          <w:b/>
          <w:bCs/>
          <w:sz w:val="26"/>
          <w:szCs w:val="26"/>
          <w:shd w:val="clear" w:color="auto" w:fill="FFFFFF"/>
          <w:lang w:eastAsia="en-GB"/>
        </w:rPr>
        <w:t xml:space="preserve">ygienic </w:t>
      </w:r>
      <w:r w:rsidRPr="001C2AAF">
        <w:rPr>
          <w:rFonts w:asciiTheme="minorBidi" w:eastAsia="Times New Roman" w:hAnsiTheme="minorBidi" w:cs="Times New Roman"/>
          <w:b/>
          <w:bCs/>
          <w:sz w:val="26"/>
          <w:szCs w:val="26"/>
          <w:shd w:val="clear" w:color="auto" w:fill="FFFFFF"/>
          <w:lang w:eastAsia="en-GB"/>
        </w:rPr>
        <w:t>M</w:t>
      </w:r>
      <w:r w:rsidR="00106304" w:rsidRPr="001C2AAF">
        <w:rPr>
          <w:rFonts w:asciiTheme="minorBidi" w:eastAsia="Times New Roman" w:hAnsiTheme="minorBidi" w:cs="Times New Roman"/>
          <w:b/>
          <w:bCs/>
          <w:sz w:val="26"/>
          <w:szCs w:val="26"/>
          <w:shd w:val="clear" w:color="auto" w:fill="FFFFFF"/>
          <w:lang w:eastAsia="en-GB"/>
        </w:rPr>
        <w:t xml:space="preserve">enstrual </w:t>
      </w:r>
      <w:r w:rsidRPr="001C2AAF">
        <w:rPr>
          <w:rFonts w:asciiTheme="minorBidi" w:eastAsia="Times New Roman" w:hAnsiTheme="minorBidi" w:cs="Times New Roman"/>
          <w:b/>
          <w:bCs/>
          <w:sz w:val="26"/>
          <w:szCs w:val="26"/>
          <w:shd w:val="clear" w:color="auto" w:fill="FFFFFF"/>
          <w:lang w:eastAsia="en-GB"/>
        </w:rPr>
        <w:t>A</w:t>
      </w:r>
      <w:r w:rsidR="00106304" w:rsidRPr="001C2AAF">
        <w:rPr>
          <w:rFonts w:asciiTheme="minorBidi" w:eastAsia="Times New Roman" w:hAnsiTheme="minorBidi" w:cs="Times New Roman"/>
          <w:b/>
          <w:bCs/>
          <w:sz w:val="26"/>
          <w:szCs w:val="26"/>
          <w:shd w:val="clear" w:color="auto" w:fill="FFFFFF"/>
          <w:lang w:eastAsia="en-GB"/>
        </w:rPr>
        <w:t xml:space="preserve">bsorbent </w:t>
      </w:r>
      <w:r w:rsidRPr="001C2AAF">
        <w:rPr>
          <w:rFonts w:asciiTheme="minorBidi" w:eastAsia="Times New Roman" w:hAnsiTheme="minorBidi" w:cs="Times New Roman"/>
          <w:b/>
          <w:bCs/>
          <w:sz w:val="26"/>
          <w:szCs w:val="26"/>
          <w:shd w:val="clear" w:color="auto" w:fill="FFFFFF"/>
          <w:lang w:eastAsia="en-GB"/>
        </w:rPr>
        <w:t>U</w:t>
      </w:r>
      <w:r w:rsidR="00106304" w:rsidRPr="001C2AAF">
        <w:rPr>
          <w:rFonts w:asciiTheme="minorBidi" w:eastAsia="Times New Roman" w:hAnsiTheme="minorBidi" w:cs="Times New Roman"/>
          <w:b/>
          <w:bCs/>
          <w:sz w:val="26"/>
          <w:szCs w:val="26"/>
          <w:shd w:val="clear" w:color="auto" w:fill="FFFFFF"/>
          <w:lang w:eastAsia="en-GB"/>
        </w:rPr>
        <w:t xml:space="preserve">se among </w:t>
      </w:r>
      <w:r w:rsidRPr="001C2AAF">
        <w:rPr>
          <w:rFonts w:asciiTheme="minorBidi" w:eastAsia="Times New Roman" w:hAnsiTheme="minorBidi" w:cs="Times New Roman"/>
          <w:b/>
          <w:bCs/>
          <w:sz w:val="26"/>
          <w:szCs w:val="26"/>
          <w:shd w:val="clear" w:color="auto" w:fill="FFFFFF"/>
          <w:lang w:eastAsia="en-GB"/>
        </w:rPr>
        <w:t>U</w:t>
      </w:r>
      <w:r w:rsidR="00106304" w:rsidRPr="001C2AAF">
        <w:rPr>
          <w:rFonts w:asciiTheme="minorBidi" w:eastAsia="Times New Roman" w:hAnsiTheme="minorBidi" w:cs="Times New Roman"/>
          <w:b/>
          <w:bCs/>
          <w:sz w:val="26"/>
          <w:szCs w:val="26"/>
          <w:shd w:val="clear" w:color="auto" w:fill="FFFFFF"/>
          <w:lang w:eastAsia="en-GB"/>
        </w:rPr>
        <w:t xml:space="preserve">nmarried </w:t>
      </w:r>
      <w:r w:rsidRPr="001C2AAF">
        <w:rPr>
          <w:rFonts w:asciiTheme="minorBidi" w:eastAsia="Times New Roman" w:hAnsiTheme="minorBidi" w:cs="Times New Roman"/>
          <w:b/>
          <w:bCs/>
          <w:sz w:val="26"/>
          <w:szCs w:val="26"/>
          <w:shd w:val="clear" w:color="auto" w:fill="FFFFFF"/>
          <w:lang w:eastAsia="en-GB"/>
        </w:rPr>
        <w:t>G</w:t>
      </w:r>
      <w:r w:rsidR="00106304" w:rsidRPr="001C2AAF">
        <w:rPr>
          <w:rFonts w:asciiTheme="minorBidi" w:eastAsia="Times New Roman" w:hAnsiTheme="minorBidi" w:cs="Times New Roman"/>
          <w:b/>
          <w:bCs/>
          <w:sz w:val="26"/>
          <w:szCs w:val="26"/>
          <w:shd w:val="clear" w:color="auto" w:fill="FFFFFF"/>
          <w:lang w:eastAsia="en-GB"/>
        </w:rPr>
        <w:t xml:space="preserve">irls in the </w:t>
      </w:r>
      <w:r w:rsidRPr="001C2AAF">
        <w:rPr>
          <w:rFonts w:asciiTheme="minorBidi" w:eastAsia="Times New Roman" w:hAnsiTheme="minorBidi" w:cs="Times New Roman"/>
          <w:b/>
          <w:bCs/>
          <w:sz w:val="26"/>
          <w:szCs w:val="26"/>
          <w:shd w:val="clear" w:color="auto" w:fill="FFFFFF"/>
          <w:lang w:eastAsia="en-GB"/>
        </w:rPr>
        <w:t>I</w:t>
      </w:r>
      <w:r w:rsidR="00106304" w:rsidRPr="001C2AAF">
        <w:rPr>
          <w:rFonts w:asciiTheme="minorBidi" w:eastAsia="Times New Roman" w:hAnsiTheme="minorBidi" w:cs="Times New Roman"/>
          <w:b/>
          <w:bCs/>
          <w:sz w:val="26"/>
          <w:szCs w:val="26"/>
          <w:shd w:val="clear" w:color="auto" w:fill="FFFFFF"/>
          <w:lang w:eastAsia="en-GB"/>
        </w:rPr>
        <w:t xml:space="preserve">mpoverished </w:t>
      </w:r>
      <w:r w:rsidRPr="001C2AAF">
        <w:rPr>
          <w:rFonts w:asciiTheme="minorBidi" w:eastAsia="Times New Roman" w:hAnsiTheme="minorBidi" w:cs="Times New Roman"/>
          <w:b/>
          <w:bCs/>
          <w:sz w:val="26"/>
          <w:szCs w:val="26"/>
          <w:shd w:val="clear" w:color="auto" w:fill="FFFFFF"/>
          <w:lang w:eastAsia="en-GB"/>
        </w:rPr>
        <w:t>S</w:t>
      </w:r>
      <w:r w:rsidR="00106304" w:rsidRPr="001C2AAF">
        <w:rPr>
          <w:rFonts w:asciiTheme="minorBidi" w:eastAsia="Times New Roman" w:hAnsiTheme="minorBidi" w:cs="Times New Roman"/>
          <w:b/>
          <w:bCs/>
          <w:sz w:val="26"/>
          <w:szCs w:val="26"/>
          <w:shd w:val="clear" w:color="auto" w:fill="FFFFFF"/>
          <w:lang w:eastAsia="en-GB"/>
        </w:rPr>
        <w:t>tates of India</w:t>
      </w:r>
    </w:p>
    <w:p w14:paraId="60C0E42F" w14:textId="77777777" w:rsidR="007C14F8" w:rsidRPr="001C2AAF" w:rsidRDefault="007C14F8" w:rsidP="001C2AAF">
      <w:pPr>
        <w:spacing w:after="0" w:line="240" w:lineRule="auto"/>
        <w:jc w:val="center"/>
        <w:rPr>
          <w:rFonts w:asciiTheme="minorBidi" w:eastAsia="Times New Roman" w:hAnsiTheme="minorBidi" w:cs="Times New Roman"/>
          <w:b/>
          <w:bCs/>
          <w:sz w:val="24"/>
          <w:szCs w:val="24"/>
          <w:shd w:val="clear" w:color="auto" w:fill="FFFFFF"/>
          <w:lang w:eastAsia="en-GB"/>
        </w:rPr>
      </w:pPr>
    </w:p>
    <w:p w14:paraId="11665AB3" w14:textId="32F5FEA5" w:rsidR="00BE5B23" w:rsidRPr="001C2AAF" w:rsidRDefault="00BE5B23" w:rsidP="001C2AAF">
      <w:pPr>
        <w:spacing w:after="0" w:line="240" w:lineRule="auto"/>
        <w:jc w:val="center"/>
        <w:rPr>
          <w:rFonts w:asciiTheme="minorBidi" w:eastAsia="Times New Roman" w:hAnsiTheme="minorBidi" w:cs="Times New Roman"/>
          <w:bCs/>
          <w:lang w:eastAsia="en-GB"/>
        </w:rPr>
      </w:pPr>
      <w:r w:rsidRPr="001C2AAF">
        <w:rPr>
          <w:rFonts w:asciiTheme="minorBidi" w:eastAsia="Times New Roman" w:hAnsiTheme="minorBidi" w:cs="Times New Roman"/>
          <w:bCs/>
          <w:shd w:val="clear" w:color="auto" w:fill="FFFFFF"/>
          <w:lang w:eastAsia="en-GB"/>
        </w:rPr>
        <w:t>Jayakant Singh</w:t>
      </w:r>
      <w:r w:rsidR="006C7509" w:rsidRPr="001C2AAF">
        <w:rPr>
          <w:rStyle w:val="FootnoteReference"/>
          <w:rFonts w:asciiTheme="minorBidi" w:eastAsia="Times New Roman" w:hAnsiTheme="minorBidi" w:cs="Times New Roman"/>
          <w:bCs/>
          <w:shd w:val="clear" w:color="auto" w:fill="FFFFFF"/>
          <w:lang w:eastAsia="en-GB"/>
        </w:rPr>
        <w:footnoteReference w:customMarkFollows="1" w:id="1"/>
        <w:sym w:font="Symbol" w:char="F02A"/>
      </w:r>
      <w:r w:rsidR="006C7509">
        <w:rPr>
          <w:rFonts w:asciiTheme="minorBidi" w:eastAsia="Times New Roman" w:hAnsiTheme="minorBidi" w:cs="Times New Roman"/>
          <w:bCs/>
          <w:shd w:val="clear" w:color="auto" w:fill="FFFFFF"/>
          <w:lang w:eastAsia="en-GB"/>
        </w:rPr>
        <w:t xml:space="preserve"> &amp; </w:t>
      </w:r>
      <w:r w:rsidR="006C7509" w:rsidRPr="001C2AAF">
        <w:rPr>
          <w:rFonts w:asciiTheme="minorBidi" w:eastAsia="Times New Roman" w:hAnsiTheme="minorBidi" w:cs="Times New Roman"/>
          <w:bCs/>
          <w:shd w:val="clear" w:color="auto" w:fill="FFFFFF"/>
          <w:lang w:eastAsia="en-GB"/>
        </w:rPr>
        <w:t>Enu Anand</w:t>
      </w:r>
      <w:r w:rsidR="006C7509" w:rsidRPr="001C2AAF">
        <w:rPr>
          <w:rStyle w:val="FootnoteReference"/>
          <w:rFonts w:asciiTheme="minorBidi" w:eastAsia="Times New Roman" w:hAnsiTheme="minorBidi" w:cs="Times New Roman"/>
          <w:bCs/>
          <w:shd w:val="clear" w:color="auto" w:fill="FFFFFF"/>
          <w:lang w:eastAsia="en-GB"/>
        </w:rPr>
        <w:footnoteReference w:customMarkFollows="1" w:id="2"/>
        <w:sym w:font="Symbol" w:char="F02A"/>
      </w:r>
      <w:r w:rsidR="006C7509" w:rsidRPr="001C2AAF">
        <w:rPr>
          <w:rStyle w:val="FootnoteReference"/>
          <w:rFonts w:asciiTheme="minorBidi" w:eastAsia="Times New Roman" w:hAnsiTheme="minorBidi" w:cs="Times New Roman"/>
          <w:bCs/>
          <w:shd w:val="clear" w:color="auto" w:fill="FFFFFF"/>
          <w:lang w:eastAsia="en-GB"/>
        </w:rPr>
        <w:sym w:font="Symbol" w:char="F02A"/>
      </w:r>
    </w:p>
    <w:p w14:paraId="65A345A7" w14:textId="77777777" w:rsidR="007C14F8" w:rsidRPr="001C2AAF" w:rsidRDefault="007C14F8" w:rsidP="001C2AAF">
      <w:pPr>
        <w:spacing w:after="0" w:line="240" w:lineRule="auto"/>
        <w:jc w:val="center"/>
        <w:rPr>
          <w:rFonts w:ascii="Times New Roman" w:hAnsi="Times New Roman" w:cs="Times New Roman"/>
          <w:b/>
          <w:sz w:val="24"/>
          <w:szCs w:val="24"/>
        </w:rPr>
      </w:pPr>
    </w:p>
    <w:p w14:paraId="018F522A" w14:textId="62FED7A2" w:rsidR="00106304" w:rsidRPr="001C2AAF" w:rsidRDefault="00106304" w:rsidP="001C2AAF">
      <w:pPr>
        <w:spacing w:after="0" w:line="240" w:lineRule="auto"/>
        <w:jc w:val="center"/>
        <w:rPr>
          <w:rFonts w:ascii="Times New Roman" w:hAnsi="Times New Roman" w:cs="Times New Roman"/>
        </w:rPr>
      </w:pPr>
      <w:r w:rsidRPr="001C2AAF">
        <w:rPr>
          <w:rFonts w:ascii="Times New Roman" w:hAnsi="Times New Roman" w:cs="Times New Roman"/>
        </w:rPr>
        <w:t>Abstract</w:t>
      </w:r>
    </w:p>
    <w:p w14:paraId="24EF4E4B" w14:textId="77777777" w:rsidR="007C14F8" w:rsidRPr="001C2AAF" w:rsidRDefault="007C14F8" w:rsidP="001C2AAF">
      <w:pPr>
        <w:spacing w:after="0" w:line="240" w:lineRule="auto"/>
        <w:jc w:val="both"/>
        <w:rPr>
          <w:rFonts w:ascii="Times New Roman" w:hAnsi="Times New Roman" w:cs="Times New Roman"/>
          <w:sz w:val="24"/>
          <w:szCs w:val="24"/>
        </w:rPr>
      </w:pPr>
    </w:p>
    <w:p w14:paraId="6769A785" w14:textId="468E314B" w:rsidR="00106304" w:rsidRPr="001C2AAF" w:rsidRDefault="00106304" w:rsidP="001C2AAF">
      <w:pPr>
        <w:spacing w:after="0" w:line="240" w:lineRule="auto"/>
        <w:ind w:left="851" w:right="851"/>
        <w:jc w:val="both"/>
        <w:rPr>
          <w:rFonts w:ascii="Times New Roman" w:hAnsi="Times New Roman" w:cs="Times New Roman"/>
          <w:i/>
          <w:sz w:val="20"/>
          <w:szCs w:val="20"/>
        </w:rPr>
      </w:pPr>
      <w:r w:rsidRPr="001C2AAF">
        <w:rPr>
          <w:rFonts w:ascii="Times New Roman" w:hAnsi="Times New Roman" w:cs="Times New Roman"/>
          <w:i/>
          <w:sz w:val="20"/>
          <w:szCs w:val="20"/>
        </w:rPr>
        <w:t>Menstrual Hygiene Management (MHM) among the adolescent and young women is a serious public health problem. This paper examine</w:t>
      </w:r>
      <w:r w:rsidR="00C12122">
        <w:rPr>
          <w:rFonts w:ascii="Times New Roman" w:hAnsi="Times New Roman" w:cs="Times New Roman"/>
          <w:i/>
          <w:sz w:val="20"/>
          <w:szCs w:val="20"/>
        </w:rPr>
        <w:t>s</w:t>
      </w:r>
      <w:r w:rsidRPr="001C2AAF">
        <w:rPr>
          <w:rFonts w:ascii="Times New Roman" w:hAnsi="Times New Roman" w:cs="Times New Roman"/>
          <w:i/>
          <w:sz w:val="20"/>
          <w:szCs w:val="20"/>
        </w:rPr>
        <w:t xml:space="preserve"> the socio-economic inequalities contributing to the use of hygienic menstrual absorbent during menstruation among unmarried young women in India and the Empowered Action Group (EAG) states. District Level Household and Facility Survey (2008) India, a</w:t>
      </w:r>
      <w:r w:rsidRPr="001C2AAF">
        <w:rPr>
          <w:rFonts w:ascii="Times New Roman" w:hAnsi="Times New Roman" w:cs="Times New Roman"/>
          <w:b/>
          <w:i/>
          <w:sz w:val="20"/>
          <w:szCs w:val="20"/>
        </w:rPr>
        <w:t xml:space="preserve"> </w:t>
      </w:r>
      <w:r w:rsidRPr="001C2AAF">
        <w:rPr>
          <w:rFonts w:ascii="Times New Roman" w:hAnsi="Times New Roman" w:cs="Times New Roman"/>
          <w:i/>
          <w:sz w:val="20"/>
          <w:szCs w:val="20"/>
        </w:rPr>
        <w:t>nationally representative community based data</w:t>
      </w:r>
      <w:r w:rsidR="00C12122">
        <w:rPr>
          <w:rFonts w:ascii="Times New Roman" w:hAnsi="Times New Roman" w:cs="Times New Roman"/>
          <w:i/>
          <w:sz w:val="20"/>
          <w:szCs w:val="20"/>
        </w:rPr>
        <w:t>,</w:t>
      </w:r>
      <w:r w:rsidRPr="001C2AAF">
        <w:rPr>
          <w:rFonts w:ascii="Times New Roman" w:hAnsi="Times New Roman" w:cs="Times New Roman"/>
          <w:i/>
          <w:sz w:val="20"/>
          <w:szCs w:val="20"/>
        </w:rPr>
        <w:t xml:space="preserve"> were u</w:t>
      </w:r>
      <w:r w:rsidR="007C14F8" w:rsidRPr="001C2AAF">
        <w:rPr>
          <w:rFonts w:ascii="Times New Roman" w:hAnsi="Times New Roman" w:cs="Times New Roman"/>
          <w:i/>
          <w:sz w:val="20"/>
          <w:szCs w:val="20"/>
        </w:rPr>
        <w:t xml:space="preserve">sed. Concentration indices were </w:t>
      </w:r>
      <w:r w:rsidRPr="001C2AAF">
        <w:rPr>
          <w:rFonts w:ascii="Times New Roman" w:hAnsi="Times New Roman" w:cs="Times New Roman"/>
          <w:i/>
          <w:sz w:val="20"/>
          <w:szCs w:val="20"/>
        </w:rPr>
        <w:t>computed to assess inequality in the use of hygienic menstrual absorbent and further it was decomposed to identify the per</w:t>
      </w:r>
      <w:r w:rsidR="00C12122">
        <w:rPr>
          <w:rFonts w:ascii="Times New Roman" w:hAnsi="Times New Roman" w:cs="Times New Roman"/>
          <w:i/>
          <w:sz w:val="20"/>
          <w:szCs w:val="20"/>
        </w:rPr>
        <w:t xml:space="preserve"> </w:t>
      </w:r>
      <w:r w:rsidRPr="001C2AAF">
        <w:rPr>
          <w:rFonts w:ascii="Times New Roman" w:hAnsi="Times New Roman" w:cs="Times New Roman"/>
          <w:i/>
          <w:sz w:val="20"/>
          <w:szCs w:val="20"/>
        </w:rPr>
        <w:t>cent contribution.</w:t>
      </w:r>
      <w:r w:rsidR="007C14F8" w:rsidRPr="001C2AAF">
        <w:rPr>
          <w:rFonts w:ascii="Times New Roman" w:hAnsi="Times New Roman" w:cs="Times New Roman"/>
          <w:i/>
          <w:sz w:val="20"/>
          <w:szCs w:val="20"/>
        </w:rPr>
        <w:t xml:space="preserve"> </w:t>
      </w:r>
      <w:r w:rsidRPr="001C2AAF">
        <w:rPr>
          <w:rFonts w:ascii="Times New Roman" w:hAnsi="Times New Roman" w:cs="Times New Roman"/>
          <w:i/>
          <w:sz w:val="20"/>
          <w:szCs w:val="20"/>
        </w:rPr>
        <w:t>Unavailability of toilets at the households (42</w:t>
      </w:r>
      <w:r w:rsidR="00BC36F7">
        <w:rPr>
          <w:rFonts w:ascii="Times New Roman" w:hAnsi="Times New Roman" w:cs="Times New Roman"/>
          <w:i/>
          <w:sz w:val="20"/>
          <w:szCs w:val="20"/>
        </w:rPr>
        <w:t>%</w:t>
      </w:r>
      <w:r w:rsidRPr="001C2AAF">
        <w:rPr>
          <w:rFonts w:ascii="Times New Roman" w:hAnsi="Times New Roman" w:cs="Times New Roman"/>
          <w:i/>
          <w:sz w:val="20"/>
          <w:szCs w:val="20"/>
        </w:rPr>
        <w:t>), living in the rural area (20</w:t>
      </w:r>
      <w:r w:rsidR="00BC36F7">
        <w:rPr>
          <w:rFonts w:ascii="Times New Roman" w:hAnsi="Times New Roman" w:cs="Times New Roman"/>
          <w:i/>
          <w:sz w:val="20"/>
          <w:szCs w:val="20"/>
        </w:rPr>
        <w:t>%</w:t>
      </w:r>
      <w:r w:rsidRPr="001C2AAF">
        <w:rPr>
          <w:rFonts w:ascii="Times New Roman" w:hAnsi="Times New Roman" w:cs="Times New Roman"/>
          <w:i/>
          <w:sz w:val="20"/>
          <w:szCs w:val="20"/>
        </w:rPr>
        <w:t>) and the number of years of schooling (27</w:t>
      </w:r>
      <w:r w:rsidR="00BC36F7">
        <w:rPr>
          <w:rFonts w:ascii="Times New Roman" w:hAnsi="Times New Roman" w:cs="Times New Roman"/>
          <w:i/>
          <w:sz w:val="20"/>
          <w:szCs w:val="20"/>
        </w:rPr>
        <w:t>%</w:t>
      </w:r>
      <w:r w:rsidRPr="001C2AAF">
        <w:rPr>
          <w:rFonts w:ascii="Times New Roman" w:hAnsi="Times New Roman" w:cs="Times New Roman"/>
          <w:i/>
          <w:sz w:val="20"/>
          <w:szCs w:val="20"/>
        </w:rPr>
        <w:t>) contributed about 90</w:t>
      </w:r>
      <w:r w:rsidR="00FB1CB9">
        <w:rPr>
          <w:rFonts w:ascii="Times New Roman" w:hAnsi="Times New Roman" w:cs="Times New Roman"/>
          <w:i/>
          <w:sz w:val="20"/>
          <w:szCs w:val="20"/>
        </w:rPr>
        <w:t xml:space="preserve"> per cent</w:t>
      </w:r>
      <w:r w:rsidRPr="001C2AAF">
        <w:rPr>
          <w:rFonts w:ascii="Times New Roman" w:hAnsi="Times New Roman" w:cs="Times New Roman"/>
          <w:i/>
          <w:sz w:val="20"/>
          <w:szCs w:val="20"/>
        </w:rPr>
        <w:t xml:space="preserve"> of the total socio-economic inequalities in using hygienic menstrual absorbent at all India level and in the EAG states with </w:t>
      </w:r>
      <w:r w:rsidR="00C12122">
        <w:rPr>
          <w:rFonts w:ascii="Times New Roman" w:hAnsi="Times New Roman" w:cs="Times New Roman"/>
          <w:i/>
          <w:sz w:val="20"/>
          <w:szCs w:val="20"/>
        </w:rPr>
        <w:t>the</w:t>
      </w:r>
      <w:r w:rsidRPr="001C2AAF">
        <w:rPr>
          <w:rFonts w:ascii="Times New Roman" w:hAnsi="Times New Roman" w:cs="Times New Roman"/>
          <w:i/>
          <w:sz w:val="20"/>
          <w:szCs w:val="20"/>
        </w:rPr>
        <w:t xml:space="preserve"> exception o</w:t>
      </w:r>
      <w:r w:rsidR="00C12122">
        <w:rPr>
          <w:rFonts w:ascii="Times New Roman" w:hAnsi="Times New Roman" w:cs="Times New Roman"/>
          <w:i/>
          <w:sz w:val="20"/>
          <w:szCs w:val="20"/>
        </w:rPr>
        <w:t>f</w:t>
      </w:r>
      <w:r w:rsidRPr="001C2AAF">
        <w:rPr>
          <w:rFonts w:ascii="Times New Roman" w:hAnsi="Times New Roman" w:cs="Times New Roman"/>
          <w:i/>
          <w:sz w:val="20"/>
          <w:szCs w:val="20"/>
        </w:rPr>
        <w:t xml:space="preserve"> Assam where low economic status and resid</w:t>
      </w:r>
      <w:r w:rsidR="00C12122">
        <w:rPr>
          <w:rFonts w:ascii="Times New Roman" w:hAnsi="Times New Roman" w:cs="Times New Roman"/>
          <w:i/>
          <w:sz w:val="20"/>
          <w:szCs w:val="20"/>
        </w:rPr>
        <w:t xml:space="preserve">ence </w:t>
      </w:r>
      <w:r w:rsidRPr="001C2AAF">
        <w:rPr>
          <w:rFonts w:ascii="Times New Roman" w:hAnsi="Times New Roman" w:cs="Times New Roman"/>
          <w:i/>
          <w:sz w:val="20"/>
          <w:szCs w:val="20"/>
        </w:rPr>
        <w:t xml:space="preserve"> in rural area explained the  inequality.</w:t>
      </w:r>
      <w:r w:rsidR="007C14F8" w:rsidRPr="001C2AAF">
        <w:rPr>
          <w:rFonts w:ascii="Times New Roman" w:hAnsi="Times New Roman" w:cs="Times New Roman"/>
          <w:i/>
          <w:sz w:val="20"/>
          <w:szCs w:val="20"/>
        </w:rPr>
        <w:t xml:space="preserve"> </w:t>
      </w:r>
      <w:r w:rsidRPr="001C2AAF">
        <w:rPr>
          <w:rFonts w:ascii="Times New Roman" w:hAnsi="Times New Roman" w:cs="Times New Roman"/>
          <w:i/>
          <w:sz w:val="20"/>
          <w:szCs w:val="20"/>
        </w:rPr>
        <w:t xml:space="preserve">Recognizing MHM as a public health concern is the first step towards addressing the problem. The provision </w:t>
      </w:r>
      <w:r w:rsidR="00C41D3C">
        <w:rPr>
          <w:rFonts w:ascii="Times New Roman" w:hAnsi="Times New Roman" w:cs="Times New Roman"/>
          <w:i/>
          <w:sz w:val="20"/>
          <w:szCs w:val="20"/>
        </w:rPr>
        <w:t xml:space="preserve">for subsidized sanitary napkins supply </w:t>
      </w:r>
      <w:r w:rsidRPr="001C2AAF">
        <w:rPr>
          <w:rFonts w:ascii="Times New Roman" w:hAnsi="Times New Roman" w:cs="Times New Roman"/>
          <w:i/>
          <w:sz w:val="20"/>
          <w:szCs w:val="20"/>
        </w:rPr>
        <w:t>need</w:t>
      </w:r>
      <w:r w:rsidR="00C12122">
        <w:rPr>
          <w:rFonts w:ascii="Times New Roman" w:hAnsi="Times New Roman" w:cs="Times New Roman"/>
          <w:i/>
          <w:sz w:val="20"/>
          <w:szCs w:val="20"/>
        </w:rPr>
        <w:t>s</w:t>
      </w:r>
      <w:r w:rsidRPr="001C2AAF">
        <w:rPr>
          <w:rFonts w:ascii="Times New Roman" w:hAnsi="Times New Roman" w:cs="Times New Roman"/>
          <w:i/>
          <w:sz w:val="20"/>
          <w:szCs w:val="20"/>
        </w:rPr>
        <w:t xml:space="preserve"> to be supplemented with the basic public health measures such as water supply and toilet facility at the household level</w:t>
      </w:r>
      <w:r w:rsidR="00C12122">
        <w:rPr>
          <w:rFonts w:ascii="Times New Roman" w:hAnsi="Times New Roman" w:cs="Times New Roman"/>
          <w:i/>
          <w:sz w:val="20"/>
          <w:szCs w:val="20"/>
        </w:rPr>
        <w:t>,</w:t>
      </w:r>
      <w:r w:rsidRPr="001C2AAF">
        <w:rPr>
          <w:rFonts w:ascii="Times New Roman" w:hAnsi="Times New Roman" w:cs="Times New Roman"/>
          <w:i/>
          <w:sz w:val="20"/>
          <w:szCs w:val="20"/>
        </w:rPr>
        <w:t xml:space="preserve"> particularly in the resource scarce settings.  </w:t>
      </w:r>
    </w:p>
    <w:p w14:paraId="1B363397" w14:textId="07119112" w:rsidR="007C14F8" w:rsidRPr="001C2AAF" w:rsidRDefault="007C14F8" w:rsidP="001C2AAF">
      <w:pPr>
        <w:spacing w:after="0" w:line="240" w:lineRule="auto"/>
        <w:jc w:val="center"/>
        <w:rPr>
          <w:rFonts w:ascii="Times New Roman" w:hAnsi="Times New Roman" w:cs="Times New Roman"/>
          <w:b/>
          <w:sz w:val="24"/>
          <w:szCs w:val="24"/>
        </w:rPr>
      </w:pPr>
    </w:p>
    <w:p w14:paraId="5B4C8F8D" w14:textId="4567D9EE" w:rsidR="00106304" w:rsidRPr="001C2AAF" w:rsidRDefault="00106304" w:rsidP="001C2AAF">
      <w:pPr>
        <w:spacing w:after="0" w:line="240" w:lineRule="auto"/>
        <w:jc w:val="center"/>
        <w:rPr>
          <w:rFonts w:ascii="Times New Roman" w:hAnsi="Times New Roman" w:cs="Times New Roman"/>
          <w:sz w:val="18"/>
          <w:szCs w:val="18"/>
        </w:rPr>
      </w:pPr>
      <w:r w:rsidRPr="001C2AAF">
        <w:rPr>
          <w:rFonts w:ascii="Times New Roman" w:hAnsi="Times New Roman" w:cs="Times New Roman"/>
          <w:sz w:val="18"/>
          <w:szCs w:val="18"/>
        </w:rPr>
        <w:t xml:space="preserve">Keywords: </w:t>
      </w:r>
      <w:r w:rsidRPr="001C2AAF">
        <w:rPr>
          <w:rFonts w:ascii="Times New Roman" w:hAnsi="Times New Roman" w:cs="Times New Roman"/>
          <w:i/>
          <w:iCs/>
          <w:sz w:val="18"/>
          <w:szCs w:val="18"/>
        </w:rPr>
        <w:t xml:space="preserve">Sanitary </w:t>
      </w:r>
      <w:r w:rsidR="00261F3A">
        <w:rPr>
          <w:rFonts w:ascii="Times New Roman" w:hAnsi="Times New Roman" w:cs="Times New Roman"/>
          <w:i/>
          <w:iCs/>
          <w:sz w:val="18"/>
          <w:szCs w:val="18"/>
        </w:rPr>
        <w:t>n</w:t>
      </w:r>
      <w:r w:rsidRPr="001C2AAF">
        <w:rPr>
          <w:rFonts w:ascii="Times New Roman" w:hAnsi="Times New Roman" w:cs="Times New Roman"/>
          <w:i/>
          <w:iCs/>
          <w:sz w:val="18"/>
          <w:szCs w:val="18"/>
        </w:rPr>
        <w:t xml:space="preserve">apkin, </w:t>
      </w:r>
      <w:r w:rsidR="00261F3A">
        <w:rPr>
          <w:rFonts w:ascii="Times New Roman" w:hAnsi="Times New Roman" w:cs="Times New Roman"/>
          <w:i/>
          <w:iCs/>
          <w:sz w:val="18"/>
          <w:szCs w:val="18"/>
        </w:rPr>
        <w:t>menstrual hygiene</w:t>
      </w:r>
      <w:r w:rsidRPr="001C2AAF">
        <w:rPr>
          <w:rFonts w:ascii="Times New Roman" w:hAnsi="Times New Roman" w:cs="Times New Roman"/>
          <w:i/>
          <w:iCs/>
          <w:sz w:val="18"/>
          <w:szCs w:val="18"/>
        </w:rPr>
        <w:t xml:space="preserve">, </w:t>
      </w:r>
      <w:r w:rsidR="00261F3A">
        <w:rPr>
          <w:rFonts w:ascii="Times New Roman" w:hAnsi="Times New Roman" w:cs="Times New Roman"/>
          <w:i/>
          <w:iCs/>
          <w:sz w:val="18"/>
          <w:szCs w:val="18"/>
        </w:rPr>
        <w:t>y</w:t>
      </w:r>
      <w:r w:rsidRPr="001C2AAF">
        <w:rPr>
          <w:rFonts w:ascii="Times New Roman" w:hAnsi="Times New Roman" w:cs="Times New Roman"/>
          <w:i/>
          <w:iCs/>
          <w:sz w:val="18"/>
          <w:szCs w:val="18"/>
        </w:rPr>
        <w:t xml:space="preserve">oung </w:t>
      </w:r>
      <w:r w:rsidR="00261F3A">
        <w:rPr>
          <w:rFonts w:ascii="Times New Roman" w:hAnsi="Times New Roman" w:cs="Times New Roman"/>
          <w:i/>
          <w:iCs/>
          <w:sz w:val="18"/>
          <w:szCs w:val="18"/>
        </w:rPr>
        <w:t>w</w:t>
      </w:r>
      <w:r w:rsidRPr="001C2AAF">
        <w:rPr>
          <w:rFonts w:ascii="Times New Roman" w:hAnsi="Times New Roman" w:cs="Times New Roman"/>
          <w:i/>
          <w:iCs/>
          <w:sz w:val="18"/>
          <w:szCs w:val="18"/>
        </w:rPr>
        <w:t xml:space="preserve">omen, </w:t>
      </w:r>
      <w:r w:rsidR="00261F3A">
        <w:rPr>
          <w:rFonts w:ascii="Times New Roman" w:hAnsi="Times New Roman" w:cs="Times New Roman"/>
          <w:i/>
          <w:iCs/>
          <w:sz w:val="18"/>
          <w:szCs w:val="18"/>
        </w:rPr>
        <w:t>i</w:t>
      </w:r>
      <w:r w:rsidRPr="001C2AAF">
        <w:rPr>
          <w:rFonts w:ascii="Times New Roman" w:hAnsi="Times New Roman" w:cs="Times New Roman"/>
          <w:i/>
          <w:iCs/>
          <w:sz w:val="18"/>
          <w:szCs w:val="18"/>
        </w:rPr>
        <w:t xml:space="preserve">nequality, </w:t>
      </w:r>
      <w:r w:rsidR="00261F3A">
        <w:rPr>
          <w:rFonts w:ascii="Times New Roman" w:hAnsi="Times New Roman" w:cs="Times New Roman"/>
          <w:i/>
          <w:iCs/>
          <w:sz w:val="18"/>
          <w:szCs w:val="18"/>
        </w:rPr>
        <w:t>d</w:t>
      </w:r>
      <w:r w:rsidRPr="001C2AAF">
        <w:rPr>
          <w:rFonts w:ascii="Times New Roman" w:hAnsi="Times New Roman" w:cs="Times New Roman"/>
          <w:i/>
          <w:iCs/>
          <w:sz w:val="18"/>
          <w:szCs w:val="18"/>
        </w:rPr>
        <w:t>ecomposition, India</w:t>
      </w:r>
      <w:r w:rsidR="005E235D">
        <w:rPr>
          <w:rFonts w:ascii="Times New Roman" w:hAnsi="Times New Roman" w:cs="Times New Roman"/>
          <w:i/>
          <w:iCs/>
          <w:sz w:val="18"/>
          <w:szCs w:val="18"/>
        </w:rPr>
        <w:t>.</w:t>
      </w:r>
    </w:p>
    <w:p w14:paraId="001FF79D" w14:textId="77777777" w:rsidR="007C14F8" w:rsidRPr="001C2AAF" w:rsidRDefault="007C14F8" w:rsidP="001C2AAF">
      <w:pPr>
        <w:spacing w:after="0" w:line="240" w:lineRule="auto"/>
        <w:jc w:val="both"/>
        <w:rPr>
          <w:rFonts w:asciiTheme="minorBidi" w:hAnsiTheme="minorBidi" w:cs="Times New Roman"/>
          <w:b/>
          <w:sz w:val="24"/>
          <w:szCs w:val="24"/>
        </w:rPr>
      </w:pPr>
    </w:p>
    <w:p w14:paraId="54DE5AFD" w14:textId="1123D2A4" w:rsidR="002E66D2" w:rsidRPr="001C2AAF" w:rsidRDefault="00D42E39" w:rsidP="001C2AAF">
      <w:pPr>
        <w:spacing w:after="0" w:line="240" w:lineRule="auto"/>
        <w:jc w:val="both"/>
        <w:rPr>
          <w:rFonts w:asciiTheme="minorBidi" w:hAnsiTheme="minorBidi" w:cs="Times New Roman"/>
          <w:b/>
        </w:rPr>
      </w:pPr>
      <w:r w:rsidRPr="001C2AAF">
        <w:rPr>
          <w:rFonts w:asciiTheme="minorBidi" w:hAnsiTheme="minorBidi" w:cs="Times New Roman"/>
          <w:b/>
        </w:rPr>
        <w:t xml:space="preserve">I. </w:t>
      </w:r>
      <w:r w:rsidR="002E66D2" w:rsidRPr="001C2AAF">
        <w:rPr>
          <w:rFonts w:asciiTheme="minorBidi" w:hAnsiTheme="minorBidi" w:cs="Times New Roman"/>
          <w:b/>
        </w:rPr>
        <w:t xml:space="preserve">Introduction </w:t>
      </w:r>
    </w:p>
    <w:p w14:paraId="1BA6FA8A" w14:textId="77777777" w:rsidR="00D42E39" w:rsidRDefault="00D42E39" w:rsidP="00D42E39">
      <w:pPr>
        <w:spacing w:after="0" w:line="240" w:lineRule="auto"/>
        <w:ind w:firstLine="567"/>
        <w:jc w:val="both"/>
        <w:rPr>
          <w:rFonts w:asciiTheme="minorBidi" w:hAnsiTheme="minorBidi" w:cs="Times New Roman"/>
        </w:rPr>
      </w:pPr>
    </w:p>
    <w:p w14:paraId="7155705A" w14:textId="392FC5B9" w:rsidR="0001736E" w:rsidRPr="00D42E39" w:rsidRDefault="00B36F77" w:rsidP="00D42E39">
      <w:pPr>
        <w:spacing w:after="0" w:line="240" w:lineRule="auto"/>
        <w:ind w:firstLine="567"/>
        <w:jc w:val="both"/>
        <w:rPr>
          <w:rFonts w:asciiTheme="minorBidi" w:hAnsiTheme="minorBidi" w:cs="Times New Roman"/>
        </w:rPr>
      </w:pPr>
      <w:r w:rsidRPr="00D42E39">
        <w:rPr>
          <w:rFonts w:asciiTheme="minorBidi" w:hAnsiTheme="minorBidi" w:cs="Times New Roman"/>
        </w:rPr>
        <w:t>Although m</w:t>
      </w:r>
      <w:r w:rsidR="002E66D2" w:rsidRPr="00D42E39">
        <w:rPr>
          <w:rFonts w:asciiTheme="minorBidi" w:hAnsiTheme="minorBidi" w:cs="Times New Roman"/>
        </w:rPr>
        <w:t xml:space="preserve">enstruation </w:t>
      </w:r>
      <w:r w:rsidRPr="00D42E39">
        <w:rPr>
          <w:rFonts w:asciiTheme="minorBidi" w:hAnsiTheme="minorBidi" w:cs="Times New Roman"/>
        </w:rPr>
        <w:t xml:space="preserve">among girls </w:t>
      </w:r>
      <w:r w:rsidR="002E66D2" w:rsidRPr="00D42E39">
        <w:rPr>
          <w:rFonts w:asciiTheme="minorBidi" w:hAnsiTheme="minorBidi" w:cs="Times New Roman"/>
        </w:rPr>
        <w:t xml:space="preserve">is a biological and natural physiological function </w:t>
      </w:r>
      <w:r w:rsidRPr="00D42E39">
        <w:rPr>
          <w:rFonts w:asciiTheme="minorBidi" w:hAnsiTheme="minorBidi" w:cs="Times New Roman"/>
        </w:rPr>
        <w:t>on attainment of menarche</w:t>
      </w:r>
      <w:r w:rsidR="005E235D">
        <w:rPr>
          <w:rFonts w:asciiTheme="minorBidi" w:hAnsiTheme="minorBidi" w:cs="Times New Roman"/>
        </w:rPr>
        <w:t>,</w:t>
      </w:r>
      <w:r w:rsidR="00CD25B7" w:rsidRPr="00D42E39">
        <w:rPr>
          <w:rFonts w:asciiTheme="minorBidi" w:hAnsiTheme="minorBidi" w:cs="Times New Roman"/>
        </w:rPr>
        <w:t xml:space="preserve"> yet</w:t>
      </w:r>
      <w:r w:rsidR="00F94F5D" w:rsidRPr="00D42E39">
        <w:rPr>
          <w:rFonts w:asciiTheme="minorBidi" w:hAnsiTheme="minorBidi" w:cs="Times New Roman"/>
        </w:rPr>
        <w:t xml:space="preserve"> it is historically contin</w:t>
      </w:r>
      <w:r w:rsidR="00740FFC" w:rsidRPr="00D42E39">
        <w:rPr>
          <w:rFonts w:asciiTheme="minorBidi" w:hAnsiTheme="minorBidi" w:cs="Times New Roman"/>
        </w:rPr>
        <w:t>g</w:t>
      </w:r>
      <w:r w:rsidR="00F94F5D" w:rsidRPr="00D42E39">
        <w:rPr>
          <w:rFonts w:asciiTheme="minorBidi" w:hAnsiTheme="minorBidi" w:cs="Times New Roman"/>
        </w:rPr>
        <w:t>ent and socially patterned</w:t>
      </w:r>
      <w:r w:rsidR="00362072" w:rsidRPr="00D42E39">
        <w:rPr>
          <w:rFonts w:asciiTheme="minorBidi" w:hAnsiTheme="minorBidi" w:cs="Times New Roman"/>
        </w:rPr>
        <w:t xml:space="preserve"> </w:t>
      </w:r>
      <w:r w:rsidR="00362072"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"DOI" : "10.4103/2249", "ISSN" : "2249-4863 (Print)", "PMID" : "25949964", "abstract" : "Menstruation is a phenomenon unique to girls. However, it has always been surrounded by taboos and myths that exclude women from many aspects of socio-cultural life. In India, the topic has been a taboo until date. Such taboos about menstruation present in many societies impact on girls' and women's emotional state, mentality and lifestyle and most importantly, health. The challenge, of addressing the socio-cultural taboos and beliefs in menstruation, is further compounded by the low girls' knowledge levels and understandings of puberty, menstruation, and reproductive health. Thus, there is the need to follow a strategic approach in combating these issues. The current paper aims to discuss menstruation related myths prevalent in India, their impact on women's life, relevance of addressing these issues in primary care and a brief description about various strategies to combat them.", "author" : [ { "dropping-particle" : "", "family" : "Garg", "given" : "Suneela", "non-dropping-particle" : "", "parse-names" : false, "suffix" : "" }, { "dropping-particle" : "", "family" : "Anand", "given" : "Tanu", "non-dropping-particle" : "", "parse-names" : false, "suffix" : "" } ], "container-title" : "Journal of family medicine and primary care", "id" : "ITEM-1", "issue" : "2", "issued" : { "date-parts" : [ [ "2015" ] ] }, "page" : "184-186", "title" : "Menstruation related myths in India: strategies for combating it", "type" : "article-journal", "volume" : "4" }, "uris" : [ "http://www.mendeley.com/documents/?uuid=4bd12f89-c1aa-4f9a-837a-b888f3cb6e50", "http://www.mendeley.com/documents/?uuid=6195c5d0-028e-47df-8c76-5a99202ed3f8" ] }, { "id" : "ITEM-2", "itemData" : { "DOI" : "10.1080/07399332.2013.838246", "ISBN" : "0739-9332", "ISSN" : "1096-4665", "PMID" : "24180612", "abstract" : "In this study I hypothesize metamorphosis of the menstrual taboo by examining the image and perception shifts of two social taboos-HIV/AIDS and homosexuality-from estranged taboos to embraced social issues. Trends identified in their media framing and respective image shifts were applied to menstruation in India. Based on my understanding of theory, topic, and geographical location, I construct a metamorphosis. I contribute the hypothesized final stage of metamorphosis, and explain how framing is likely instrumental in bringing about these changes.", "author" : [ { "dropping-particle" : "", "family" : "Yagnik", "given" : "Arpan Shailesh", "non-dropping-particle" : "", "parse-names" : false, "suffix" : "" } ], "container-title" : "Health care for women international", "id" : "ITEM-2", "issue" : "6", "issued" : { "date-parts" : [ [ "2014" ] ] }, "page" : "617-633", "title" : "Reframing menstruation in India: metamorphosis of the menstrual taboo with the changing media coverage", "type" : "article-journal", "volume" : "35" }, "uris" : [ "http://www.mendeley.com/documents/?uuid=8e31ed99-49f4-47bd-b4c3-055d1c25ee3a", "http://www.mendeley.com/documents/?uuid=9c85b723-4e18-49c0-9a64-f24c492a9b4a" ] }, { "id" : "ITEM-3", "itemData" : { "DOI" : "10.2105/AJPH.2013.301374", "ISBN" : "10.2105/AJPH.2013.301374", "ISSN" : "00900036", "PMID" : "23865645", "author" : [ { "dropping-particle" : "", "family" : "Sommer", "given" : "M", "non-dropping-particle" : "", "parse-names" : false, "suffix" : "" }, { "dropping-particle" : "", "family" : "Sahin", "given" : "Murat", "non-dropping-particle" : "", "parse-names" : false, "suffix" : "" } ], "container-title" : "American Journal of Public Health", "id" : "ITEM-3", "issue" : "9", "issued" : { "date-parts" : [ [ "2013" ] ] }, "page" : "1556-1559", "title" : "Overcoming the Taboo: Advancing the Global Agenda for Menstrual Hygiene Management for Schoolgirls", "type" : "article-journal", "volume" : "103" }, "uris" : [ "http://www.mendeley.com/documents/?uuid=14fa438e-3b3d-44d1-8231-a14dbd1040a5", "http://www.mendeley.com/documents/?uuid=3188548e-de2e-4193-b7bb-53673a11cb14" ] } ], "mendeley" : { "formattedCitation" : "(S. Garg &amp; Anand, 2015; M Sommer &amp; Sahin, 2013; Yagnik, 2014)", "plainTextFormattedCitation" : "(S. Garg &amp; Anand, 2015; M Sommer &amp; Sahin, 2013; Yagnik, 2014)", "previouslyFormattedCitation" : "(Garg and Anand, 2015; Sommer and Sahin, 2013; Yagnik, 2014)" }, "properties" : { "noteIndex" : 0 }, "schema" : "https://github.com/citation-style-language/schema/raw/master/csl-citation.json" }</w:instrText>
      </w:r>
      <w:r w:rsidR="00362072" w:rsidRPr="00D42E39">
        <w:rPr>
          <w:rFonts w:asciiTheme="minorBidi" w:hAnsiTheme="minorBidi" w:cs="Times New Roman"/>
        </w:rPr>
        <w:fldChar w:fldCharType="separate"/>
      </w:r>
      <w:r w:rsidR="00C313A9" w:rsidRPr="00D42E39">
        <w:rPr>
          <w:rFonts w:asciiTheme="minorBidi" w:hAnsiTheme="minorBidi" w:cs="Times New Roman"/>
          <w:noProof/>
        </w:rPr>
        <w:t xml:space="preserve">(Garg </w:t>
      </w:r>
      <w:r w:rsidR="00BC36F7">
        <w:rPr>
          <w:rFonts w:asciiTheme="minorBidi" w:hAnsiTheme="minorBidi" w:cs="Times New Roman"/>
          <w:noProof/>
        </w:rPr>
        <w:t xml:space="preserve">&amp; </w:t>
      </w:r>
      <w:r w:rsidR="00C313A9" w:rsidRPr="00D42E39">
        <w:rPr>
          <w:rFonts w:asciiTheme="minorBidi" w:hAnsiTheme="minorBidi" w:cs="Times New Roman"/>
          <w:noProof/>
        </w:rPr>
        <w:t xml:space="preserve">Anand, 2015; Sommer </w:t>
      </w:r>
      <w:r w:rsidR="00BC36F7">
        <w:rPr>
          <w:rFonts w:asciiTheme="minorBidi" w:hAnsiTheme="minorBidi" w:cs="Times New Roman"/>
          <w:noProof/>
        </w:rPr>
        <w:t>&amp;</w:t>
      </w:r>
      <w:r w:rsidR="00C313A9" w:rsidRPr="00D42E39">
        <w:rPr>
          <w:rFonts w:asciiTheme="minorBidi" w:hAnsiTheme="minorBidi" w:cs="Times New Roman"/>
          <w:noProof/>
        </w:rPr>
        <w:t xml:space="preserve"> Sahin, 2013; Yagnik, 2014)</w:t>
      </w:r>
      <w:r w:rsidR="00362072" w:rsidRPr="00D42E39">
        <w:rPr>
          <w:rFonts w:asciiTheme="minorBidi" w:hAnsiTheme="minorBidi" w:cs="Times New Roman"/>
        </w:rPr>
        <w:fldChar w:fldCharType="end"/>
      </w:r>
      <w:r w:rsidR="00F94F5D" w:rsidRPr="00D42E39">
        <w:rPr>
          <w:rFonts w:asciiTheme="minorBidi" w:hAnsiTheme="minorBidi" w:cs="Times New Roman"/>
        </w:rPr>
        <w:t>.</w:t>
      </w:r>
      <w:r w:rsidR="002E66D2" w:rsidRPr="00D42E39">
        <w:rPr>
          <w:rFonts w:asciiTheme="minorBidi" w:hAnsiTheme="minorBidi" w:cs="Times New Roman"/>
        </w:rPr>
        <w:t xml:space="preserve">  </w:t>
      </w:r>
      <w:r w:rsidR="00B638CC" w:rsidRPr="00D42E39">
        <w:rPr>
          <w:rFonts w:asciiTheme="minorBidi" w:hAnsiTheme="minorBidi" w:cs="Times New Roman"/>
        </w:rPr>
        <w:t>From the time immemorial, t</w:t>
      </w:r>
      <w:r w:rsidR="00F94F5D" w:rsidRPr="00D42E39">
        <w:rPr>
          <w:rFonts w:asciiTheme="minorBidi" w:hAnsiTheme="minorBidi" w:cs="Times New Roman"/>
        </w:rPr>
        <w:t xml:space="preserve">he notions of </w:t>
      </w:r>
      <w:r w:rsidR="006A0E7F" w:rsidRPr="00D42E39">
        <w:rPr>
          <w:rFonts w:asciiTheme="minorBidi" w:hAnsiTheme="minorBidi" w:cs="Times New Roman"/>
        </w:rPr>
        <w:t>‘purity’ and ‘</w:t>
      </w:r>
      <w:r w:rsidR="00F94F5D" w:rsidRPr="00D42E39">
        <w:rPr>
          <w:rFonts w:asciiTheme="minorBidi" w:hAnsiTheme="minorBidi" w:cs="Times New Roman"/>
        </w:rPr>
        <w:t>pollution</w:t>
      </w:r>
      <w:r w:rsidR="006A0E7F" w:rsidRPr="00D42E39">
        <w:rPr>
          <w:rFonts w:asciiTheme="minorBidi" w:hAnsiTheme="minorBidi" w:cs="Times New Roman"/>
        </w:rPr>
        <w:t>’</w:t>
      </w:r>
      <w:r w:rsidR="00F94F5D" w:rsidRPr="00D42E39">
        <w:rPr>
          <w:rFonts w:asciiTheme="minorBidi" w:hAnsiTheme="minorBidi" w:cs="Times New Roman"/>
        </w:rPr>
        <w:t xml:space="preserve"> </w:t>
      </w:r>
      <w:r w:rsidRPr="00D42E39">
        <w:rPr>
          <w:rFonts w:asciiTheme="minorBidi" w:hAnsiTheme="minorBidi" w:cs="Times New Roman"/>
        </w:rPr>
        <w:t>attributed</w:t>
      </w:r>
      <w:r w:rsidR="00F94F5D" w:rsidRPr="00D42E39">
        <w:rPr>
          <w:rFonts w:asciiTheme="minorBidi" w:hAnsiTheme="minorBidi" w:cs="Times New Roman"/>
        </w:rPr>
        <w:t xml:space="preserve"> to menstruation </w:t>
      </w:r>
      <w:r w:rsidR="002B7830" w:rsidRPr="00D42E39">
        <w:rPr>
          <w:rFonts w:asciiTheme="minorBidi" w:hAnsiTheme="minorBidi" w:cs="Times New Roman"/>
        </w:rPr>
        <w:t>disguise</w:t>
      </w:r>
      <w:r w:rsidR="00F94F5D" w:rsidRPr="00D42E39">
        <w:rPr>
          <w:rFonts w:asciiTheme="minorBidi" w:hAnsiTheme="minorBidi" w:cs="Times New Roman"/>
        </w:rPr>
        <w:t xml:space="preserve"> the </w:t>
      </w:r>
      <w:r w:rsidR="00CD25B7" w:rsidRPr="00D42E39">
        <w:rPr>
          <w:rFonts w:asciiTheme="minorBidi" w:hAnsiTheme="minorBidi" w:cs="Times New Roman"/>
        </w:rPr>
        <w:t xml:space="preserve">girls </w:t>
      </w:r>
      <w:r w:rsidR="00F94F5D" w:rsidRPr="00D42E39">
        <w:rPr>
          <w:rFonts w:asciiTheme="minorBidi" w:hAnsiTheme="minorBidi" w:cs="Times New Roman"/>
        </w:rPr>
        <w:t>with a culture of silence</w:t>
      </w:r>
      <w:r w:rsidR="005449BA" w:rsidRPr="00D42E39">
        <w:rPr>
          <w:rFonts w:asciiTheme="minorBidi" w:hAnsiTheme="minorBidi" w:cs="Times New Roman"/>
        </w:rPr>
        <w:t xml:space="preserve"> in the Indian subcontinent</w:t>
      </w:r>
      <w:r w:rsidR="006A0E7F" w:rsidRPr="00D42E39">
        <w:rPr>
          <w:rFonts w:asciiTheme="minorBidi" w:hAnsiTheme="minorBidi" w:cs="Times New Roman"/>
        </w:rPr>
        <w:t xml:space="preserve">. </w:t>
      </w:r>
      <w:r w:rsidR="002B7830" w:rsidRPr="00D42E39">
        <w:rPr>
          <w:rFonts w:asciiTheme="minorBidi" w:hAnsiTheme="minorBidi" w:cs="Times New Roman"/>
        </w:rPr>
        <w:t>Menstruation</w:t>
      </w:r>
      <w:r w:rsidRPr="00D42E39">
        <w:rPr>
          <w:rFonts w:asciiTheme="minorBidi" w:hAnsiTheme="minorBidi" w:cs="Times New Roman"/>
        </w:rPr>
        <w:t xml:space="preserve"> </w:t>
      </w:r>
      <w:r w:rsidR="006A0E7F" w:rsidRPr="00D42E39">
        <w:rPr>
          <w:rFonts w:asciiTheme="minorBidi" w:hAnsiTheme="minorBidi" w:cs="Times New Roman"/>
        </w:rPr>
        <w:t>is</w:t>
      </w:r>
      <w:r w:rsidR="00F94F5D" w:rsidRPr="00D42E39">
        <w:rPr>
          <w:rFonts w:asciiTheme="minorBidi" w:hAnsiTheme="minorBidi" w:cs="Times New Roman"/>
        </w:rPr>
        <w:t xml:space="preserve"> dealt with utmost secrecy</w:t>
      </w:r>
      <w:r w:rsidR="00CD25B7" w:rsidRPr="00D42E39">
        <w:rPr>
          <w:rFonts w:asciiTheme="minorBidi" w:hAnsiTheme="minorBidi" w:cs="Times New Roman"/>
        </w:rPr>
        <w:t xml:space="preserve"> </w:t>
      </w:r>
      <w:r w:rsidRPr="00D42E39">
        <w:rPr>
          <w:rFonts w:asciiTheme="minorBidi" w:hAnsiTheme="minorBidi" w:cs="Times New Roman"/>
        </w:rPr>
        <w:t>surrounded by the</w:t>
      </w:r>
      <w:r w:rsidR="00CD25B7" w:rsidRPr="00D42E39">
        <w:rPr>
          <w:rFonts w:asciiTheme="minorBidi" w:hAnsiTheme="minorBidi" w:cs="Times New Roman"/>
        </w:rPr>
        <w:t xml:space="preserve"> socio-cultural beliefs and taboos </w:t>
      </w:r>
      <w:r w:rsidRPr="00D42E39">
        <w:rPr>
          <w:rFonts w:asciiTheme="minorBidi" w:hAnsiTheme="minorBidi" w:cs="Times New Roman"/>
        </w:rPr>
        <w:t>of the society</w:t>
      </w:r>
      <w:r w:rsidR="005E235D">
        <w:rPr>
          <w:rFonts w:asciiTheme="minorBidi" w:hAnsiTheme="minorBidi" w:cs="Times New Roman"/>
        </w:rPr>
        <w:t>,</w:t>
      </w:r>
      <w:r w:rsidRPr="00D42E39">
        <w:rPr>
          <w:rFonts w:asciiTheme="minorBidi" w:hAnsiTheme="minorBidi" w:cs="Times New Roman"/>
        </w:rPr>
        <w:t xml:space="preserve"> implicating menstruation as</w:t>
      </w:r>
      <w:r w:rsidR="00CD25B7" w:rsidRPr="00D42E39">
        <w:rPr>
          <w:rFonts w:asciiTheme="minorBidi" w:hAnsiTheme="minorBidi" w:cs="Times New Roman"/>
        </w:rPr>
        <w:t xml:space="preserve"> </w:t>
      </w:r>
      <w:r w:rsidR="00B638CC" w:rsidRPr="00D42E39">
        <w:rPr>
          <w:rFonts w:asciiTheme="minorBidi" w:hAnsiTheme="minorBidi" w:cs="Times New Roman"/>
        </w:rPr>
        <w:t xml:space="preserve">a </w:t>
      </w:r>
      <w:r w:rsidR="00CD25B7" w:rsidRPr="00D42E39">
        <w:rPr>
          <w:rFonts w:asciiTheme="minorBidi" w:hAnsiTheme="minorBidi" w:cs="Times New Roman"/>
        </w:rPr>
        <w:t xml:space="preserve">dirty, impure or polluting </w:t>
      </w:r>
      <w:r w:rsidR="002B7830" w:rsidRPr="00D42E39">
        <w:rPr>
          <w:rFonts w:asciiTheme="minorBidi" w:hAnsiTheme="minorBidi" w:cs="Times New Roman"/>
        </w:rPr>
        <w:t>phenomenon</w:t>
      </w:r>
      <w:r w:rsidR="00CD25B7" w:rsidRPr="00D42E39">
        <w:rPr>
          <w:rFonts w:asciiTheme="minorBidi" w:hAnsiTheme="minorBidi" w:cs="Times New Roman"/>
        </w:rPr>
        <w:t xml:space="preserve">. </w:t>
      </w:r>
      <w:r w:rsidR="00417F2F" w:rsidRPr="00D42E39">
        <w:rPr>
          <w:rFonts w:asciiTheme="minorBidi" w:hAnsiTheme="minorBidi" w:cs="Times New Roman"/>
        </w:rPr>
        <w:t>Some of the s</w:t>
      </w:r>
      <w:r w:rsidR="0001736E" w:rsidRPr="00D42E39">
        <w:rPr>
          <w:rFonts w:asciiTheme="minorBidi" w:hAnsiTheme="minorBidi" w:cs="Times New Roman"/>
        </w:rPr>
        <w:t>oci</w:t>
      </w:r>
      <w:r w:rsidR="00F43C07" w:rsidRPr="00D42E39">
        <w:rPr>
          <w:rFonts w:asciiTheme="minorBidi" w:hAnsiTheme="minorBidi" w:cs="Times New Roman"/>
        </w:rPr>
        <w:t>et</w:t>
      </w:r>
      <w:r w:rsidR="0001736E" w:rsidRPr="00D42E39">
        <w:rPr>
          <w:rFonts w:asciiTheme="minorBidi" w:hAnsiTheme="minorBidi" w:cs="Times New Roman"/>
        </w:rPr>
        <w:t xml:space="preserve">al restrictions </w:t>
      </w:r>
      <w:r w:rsidR="00F43C07" w:rsidRPr="00D42E39">
        <w:rPr>
          <w:rFonts w:asciiTheme="minorBidi" w:hAnsiTheme="minorBidi" w:cs="Times New Roman"/>
        </w:rPr>
        <w:t xml:space="preserve">imposed to  women </w:t>
      </w:r>
      <w:r w:rsidR="00417F2F" w:rsidRPr="00D42E39">
        <w:rPr>
          <w:rFonts w:asciiTheme="minorBidi" w:hAnsiTheme="minorBidi" w:cs="Times New Roman"/>
        </w:rPr>
        <w:t>during menstruation include debarr</w:t>
      </w:r>
      <w:r w:rsidR="005E235D">
        <w:rPr>
          <w:rFonts w:asciiTheme="minorBidi" w:hAnsiTheme="minorBidi" w:cs="Times New Roman"/>
        </w:rPr>
        <w:t xml:space="preserve">ing </w:t>
      </w:r>
      <w:r w:rsidR="00417F2F" w:rsidRPr="00D42E39">
        <w:rPr>
          <w:rFonts w:asciiTheme="minorBidi" w:hAnsiTheme="minorBidi" w:cs="Times New Roman"/>
        </w:rPr>
        <w:t xml:space="preserve"> from all sorts of religious function including </w:t>
      </w:r>
      <w:r w:rsidR="002A4CE5" w:rsidRPr="00D42E39">
        <w:rPr>
          <w:rFonts w:asciiTheme="minorBidi" w:hAnsiTheme="minorBidi" w:cs="Times New Roman"/>
        </w:rPr>
        <w:t xml:space="preserve">prohibition to enter </w:t>
      </w:r>
      <w:r w:rsidR="005E235D">
        <w:rPr>
          <w:rFonts w:asciiTheme="minorBidi" w:hAnsiTheme="minorBidi" w:cs="Times New Roman"/>
        </w:rPr>
        <w:t xml:space="preserve">a </w:t>
      </w:r>
      <w:r w:rsidR="002A4CE5" w:rsidRPr="00D42E39">
        <w:rPr>
          <w:rFonts w:asciiTheme="minorBidi" w:hAnsiTheme="minorBidi" w:cs="Times New Roman"/>
        </w:rPr>
        <w:t xml:space="preserve"> religious</w:t>
      </w:r>
      <w:r w:rsidR="00417F2F" w:rsidRPr="00D42E39">
        <w:rPr>
          <w:rFonts w:asciiTheme="minorBidi" w:hAnsiTheme="minorBidi" w:cs="Times New Roman"/>
        </w:rPr>
        <w:t xml:space="preserve"> place, restricting access to kitchen </w:t>
      </w:r>
      <w:r w:rsidR="00C74367" w:rsidRPr="00D42E39">
        <w:rPr>
          <w:rFonts w:asciiTheme="minorBidi" w:hAnsiTheme="minorBidi" w:cs="Times New Roman"/>
        </w:rPr>
        <w:t>with</w:t>
      </w:r>
      <w:r w:rsidR="00417F2F" w:rsidRPr="00D42E39">
        <w:rPr>
          <w:rFonts w:asciiTheme="minorBidi" w:hAnsiTheme="minorBidi" w:cs="Times New Roman"/>
        </w:rPr>
        <w:t xml:space="preserve"> </w:t>
      </w:r>
      <w:r w:rsidR="00C74367" w:rsidRPr="00D42E39">
        <w:rPr>
          <w:rFonts w:asciiTheme="minorBidi" w:hAnsiTheme="minorBidi" w:cs="Times New Roman"/>
        </w:rPr>
        <w:t>a ban</w:t>
      </w:r>
      <w:r w:rsidR="00417F2F" w:rsidRPr="00D42E39">
        <w:rPr>
          <w:rFonts w:asciiTheme="minorBidi" w:hAnsiTheme="minorBidi" w:cs="Times New Roman"/>
        </w:rPr>
        <w:t xml:space="preserve"> </w:t>
      </w:r>
      <w:r w:rsidR="002A4CE5" w:rsidRPr="00D42E39">
        <w:rPr>
          <w:rFonts w:asciiTheme="minorBidi" w:hAnsiTheme="minorBidi" w:cs="Times New Roman"/>
        </w:rPr>
        <w:t>on</w:t>
      </w:r>
      <w:r w:rsidR="00417F2F" w:rsidRPr="00D42E39">
        <w:rPr>
          <w:rFonts w:asciiTheme="minorBidi" w:hAnsiTheme="minorBidi" w:cs="Times New Roman"/>
        </w:rPr>
        <w:t xml:space="preserve"> touch</w:t>
      </w:r>
      <w:r w:rsidR="002A4CE5" w:rsidRPr="00D42E39">
        <w:rPr>
          <w:rFonts w:asciiTheme="minorBidi" w:hAnsiTheme="minorBidi" w:cs="Times New Roman"/>
        </w:rPr>
        <w:t>ing</w:t>
      </w:r>
      <w:r w:rsidR="00417F2F" w:rsidRPr="00D42E39">
        <w:rPr>
          <w:rFonts w:asciiTheme="minorBidi" w:hAnsiTheme="minorBidi" w:cs="Times New Roman"/>
        </w:rPr>
        <w:t xml:space="preserve"> food </w:t>
      </w:r>
      <w:r w:rsidR="005E235D">
        <w:rPr>
          <w:rFonts w:asciiTheme="minorBidi" w:hAnsiTheme="minorBidi" w:cs="Times New Roman"/>
        </w:rPr>
        <w:t xml:space="preserve"> item</w:t>
      </w:r>
      <w:r w:rsidR="00417F2F" w:rsidRPr="00D42E39">
        <w:rPr>
          <w:rFonts w:asciiTheme="minorBidi" w:hAnsiTheme="minorBidi" w:cs="Times New Roman"/>
        </w:rPr>
        <w:t xml:space="preserve">s and utensils, isolating the menstruating </w:t>
      </w:r>
      <w:r w:rsidR="002A4CE5" w:rsidRPr="00D42E39">
        <w:rPr>
          <w:rFonts w:asciiTheme="minorBidi" w:hAnsiTheme="minorBidi" w:cs="Times New Roman"/>
        </w:rPr>
        <w:t>wom</w:t>
      </w:r>
      <w:r w:rsidR="005E235D">
        <w:rPr>
          <w:rFonts w:asciiTheme="minorBidi" w:hAnsiTheme="minorBidi" w:cs="Times New Roman"/>
        </w:rPr>
        <w:t>e</w:t>
      </w:r>
      <w:r w:rsidR="002A4CE5" w:rsidRPr="00D42E39">
        <w:rPr>
          <w:rFonts w:asciiTheme="minorBidi" w:hAnsiTheme="minorBidi" w:cs="Times New Roman"/>
        </w:rPr>
        <w:t>n from the living room, hiding</w:t>
      </w:r>
      <w:r w:rsidR="00417F2F" w:rsidRPr="00D42E39">
        <w:rPr>
          <w:rFonts w:asciiTheme="minorBidi" w:hAnsiTheme="minorBidi" w:cs="Times New Roman"/>
        </w:rPr>
        <w:t xml:space="preserve"> themselves </w:t>
      </w:r>
      <w:r w:rsidR="002B7830" w:rsidRPr="00D42E39">
        <w:rPr>
          <w:rFonts w:asciiTheme="minorBidi" w:hAnsiTheme="minorBidi" w:cs="Times New Roman"/>
        </w:rPr>
        <w:t>from the sight of men</w:t>
      </w:r>
      <w:r w:rsidR="00417F2F" w:rsidRPr="00D42E39">
        <w:rPr>
          <w:rFonts w:asciiTheme="minorBidi" w:hAnsiTheme="minorBidi" w:cs="Times New Roman"/>
        </w:rPr>
        <w:t>, not allowed to bath</w:t>
      </w:r>
      <w:r w:rsidR="005E235D">
        <w:rPr>
          <w:rFonts w:asciiTheme="minorBidi" w:hAnsiTheme="minorBidi" w:cs="Times New Roman"/>
        </w:rPr>
        <w:t>,</w:t>
      </w:r>
      <w:r w:rsidR="00417F2F" w:rsidRPr="00D42E39">
        <w:rPr>
          <w:rFonts w:asciiTheme="minorBidi" w:hAnsiTheme="minorBidi" w:cs="Times New Roman"/>
        </w:rPr>
        <w:t xml:space="preserve"> etc. </w:t>
      </w:r>
      <w:r w:rsidR="0001736E"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"ISBN" : "09717587 (ISSN)", "ISSN" : "09717587", "abstract" : "Context: Menstrual hygiene is an issue that every girl and woman has to deal with in her life, but there is lack of awareness on the process of menstruation. The taboos surrounding this issue in the society prevent girls and women from articulating their menstrual needs. It is now becoming increasingly recognized that the social and cultural significance of menstruation interacts with the physiological process to produce culturally determined norms and practices. Settings and Design: Cross-Sectional conducted in two randomly selected Inter colleges (one rural and one urban) of district Dehradun of Uttarakhand state. Methods and Material: 453 girls studying in 9th to 12th grades were interviewed by using a prestructured and pretested questionnaire regarding various aspects of menstruation process. Statistical analysis used: percentages and Chi-square testResults: Most of the girls faced one or the other kind of social and / or religious restriction during their menstrual periods. Maximum restriction was observed in going to the temple (87.4 %) followed by prohibition in touching pickles (48.6 %). These restrictions were equally reported by the urban and rural girls. Conclusions: Girls should be made aware regarding physiological basis of menstruation and a change in beliefs and attitudes need to be attained to ensure optimal behaviour and thereby prompting of a healthy menstrual life styles and practices.", "author" : [ { "dropping-particle" : "", "family" : "Juyal", "given" : "Ruchi", "non-dropping-particle" : "", "parse-names" : false, "suffix" : "" }, { "dropping-particle" : "", "family" : "Kandpal", "given" : "S. D.", "non-dropping-particle" : "", "parse-names" : false, "suffix" : "" }, { "dropping-particle" : "", "family" : "Semwal", "given" : "Jayanti", "non-dropping-particle" : "", "parse-names" : false, "suffix" : "" } ], "container-title" : "Indian Journal of Community Health", "id" : "ITEM-1", "issue" : "3", "issued" : { "date-parts" : [ [ "2013" ] ] }, "page" : "213-216", "title" : "Social aspects of menstruation related practices in adolescent girls of district Dehradun", "type" : "article", "volume" : "25" }, "uris" : [ "http://www.mendeley.com/documents/?uuid=4f7014ad-ce76-4321-b20b-e1a40258fc43", "http://www.mendeley.com/documents/?uuid=3060abd9-b24b-4bea-a2f8-35e63a67a3dd" ] } ], "mendeley" : { "formattedCitation" : "(Ruchi Juyal, Kandpal, &amp; Semwal, 2013)", "manualFormatting" : "(Juyal et al., 2013; Jogdand and Yerpude, 2011; Mudey et al., 2010)", "plainTextFormattedCitation" : "(Ruchi Juyal, Kandpal, &amp; Semwal, 2013)", "previouslyFormattedCitation" : "(Juyal et al., 2013)" }, "properties" : { "noteIndex" : 0 }, "schema" : "https://github.com/citation-style-language/schema/raw/master/csl-citation.json" }</w:instrText>
      </w:r>
      <w:r w:rsidR="0001736E" w:rsidRPr="00D42E39">
        <w:rPr>
          <w:rFonts w:asciiTheme="minorBidi" w:hAnsiTheme="minorBidi" w:cs="Times New Roman"/>
        </w:rPr>
        <w:fldChar w:fldCharType="separate"/>
      </w:r>
      <w:r w:rsidR="0001736E" w:rsidRPr="00F21639">
        <w:rPr>
          <w:rFonts w:asciiTheme="minorBidi" w:hAnsiTheme="minorBidi" w:cs="Times New Roman"/>
          <w:noProof/>
        </w:rPr>
        <w:t>(Juyal et al., 2013</w:t>
      </w:r>
      <w:r w:rsidR="00417F2F" w:rsidRPr="00F21639">
        <w:rPr>
          <w:rFonts w:asciiTheme="minorBidi" w:hAnsiTheme="minorBidi" w:cs="Times New Roman"/>
          <w:noProof/>
        </w:rPr>
        <w:t xml:space="preserve">; Jogdand </w:t>
      </w:r>
      <w:r w:rsidR="00BC36F7">
        <w:rPr>
          <w:rFonts w:asciiTheme="minorBidi" w:hAnsiTheme="minorBidi" w:cs="Times New Roman"/>
          <w:noProof/>
        </w:rPr>
        <w:t xml:space="preserve">&amp; </w:t>
      </w:r>
      <w:r w:rsidR="00417F2F" w:rsidRPr="00F21639">
        <w:rPr>
          <w:rFonts w:asciiTheme="minorBidi" w:hAnsiTheme="minorBidi" w:cs="Times New Roman"/>
          <w:noProof/>
        </w:rPr>
        <w:t>Yerpude, 2011;</w:t>
      </w:r>
      <w:r w:rsidR="00417F2F" w:rsidRPr="00D42E39">
        <w:rPr>
          <w:rFonts w:asciiTheme="minorBidi" w:hAnsiTheme="minorBidi" w:cs="Times New Roman"/>
          <w:noProof/>
        </w:rPr>
        <w:t xml:space="preserve"> Mudey et al., 2010</w:t>
      </w:r>
      <w:r w:rsidR="0001736E" w:rsidRPr="00D42E39">
        <w:rPr>
          <w:rFonts w:asciiTheme="minorBidi" w:hAnsiTheme="minorBidi" w:cs="Times New Roman"/>
          <w:noProof/>
        </w:rPr>
        <w:t>)</w:t>
      </w:r>
      <w:r w:rsidR="0001736E" w:rsidRPr="00D42E39">
        <w:rPr>
          <w:rFonts w:asciiTheme="minorBidi" w:hAnsiTheme="minorBidi" w:cs="Times New Roman"/>
        </w:rPr>
        <w:fldChar w:fldCharType="end"/>
      </w:r>
      <w:r w:rsidR="00417F2F" w:rsidRPr="00D42E39">
        <w:rPr>
          <w:rFonts w:asciiTheme="minorBidi" w:hAnsiTheme="minorBidi" w:cs="Times New Roman"/>
        </w:rPr>
        <w:t xml:space="preserve">. </w:t>
      </w:r>
      <w:r w:rsidR="0001736E" w:rsidRPr="00D42E39">
        <w:rPr>
          <w:rFonts w:asciiTheme="minorBidi" w:hAnsiTheme="minorBidi" w:cs="Times New Roman"/>
        </w:rPr>
        <w:t xml:space="preserve"> </w:t>
      </w:r>
      <w:r w:rsidR="00417F2F" w:rsidRPr="00D42E39">
        <w:rPr>
          <w:rFonts w:asciiTheme="minorBidi" w:hAnsiTheme="minorBidi" w:cs="Times New Roman"/>
        </w:rPr>
        <w:t>The a</w:t>
      </w:r>
      <w:r w:rsidR="0001736E" w:rsidRPr="00D42E39">
        <w:rPr>
          <w:rFonts w:asciiTheme="minorBidi" w:hAnsiTheme="minorBidi" w:cs="Times New Roman"/>
        </w:rPr>
        <w:t xml:space="preserve">dolescent girls – </w:t>
      </w:r>
      <w:r w:rsidR="002A4CE5" w:rsidRPr="00D42E39">
        <w:rPr>
          <w:rFonts w:asciiTheme="minorBidi" w:hAnsiTheme="minorBidi" w:cs="Times New Roman"/>
        </w:rPr>
        <w:t>an</w:t>
      </w:r>
      <w:r w:rsidR="0001736E" w:rsidRPr="00D42E39">
        <w:rPr>
          <w:rFonts w:asciiTheme="minorBidi" w:hAnsiTheme="minorBidi" w:cs="Times New Roman"/>
        </w:rPr>
        <w:t xml:space="preserve"> age at which </w:t>
      </w:r>
      <w:r w:rsidR="005E235D">
        <w:rPr>
          <w:rFonts w:asciiTheme="minorBidi" w:hAnsiTheme="minorBidi" w:cs="Times New Roman"/>
        </w:rPr>
        <w:t xml:space="preserve">a </w:t>
      </w:r>
      <w:r w:rsidR="0001736E" w:rsidRPr="00D42E39">
        <w:rPr>
          <w:rFonts w:asciiTheme="minorBidi" w:hAnsiTheme="minorBidi" w:cs="Times New Roman"/>
        </w:rPr>
        <w:t>majority of the</w:t>
      </w:r>
      <w:r w:rsidR="005E235D">
        <w:rPr>
          <w:rFonts w:asciiTheme="minorBidi" w:hAnsiTheme="minorBidi" w:cs="Times New Roman"/>
        </w:rPr>
        <w:t>m</w:t>
      </w:r>
      <w:r w:rsidR="0001736E" w:rsidRPr="00D42E39">
        <w:rPr>
          <w:rFonts w:asciiTheme="minorBidi" w:hAnsiTheme="minorBidi" w:cs="Times New Roman"/>
        </w:rPr>
        <w:t xml:space="preserve">  start menstruating shape </w:t>
      </w:r>
      <w:r w:rsidR="00417F2F" w:rsidRPr="00D42E39">
        <w:rPr>
          <w:rFonts w:asciiTheme="minorBidi" w:hAnsiTheme="minorBidi" w:cs="Times New Roman"/>
        </w:rPr>
        <w:t>an</w:t>
      </w:r>
      <w:r w:rsidR="0001736E" w:rsidRPr="00D42E39">
        <w:rPr>
          <w:rFonts w:asciiTheme="minorBidi" w:hAnsiTheme="minorBidi" w:cs="Times New Roman"/>
        </w:rPr>
        <w:t xml:space="preserve"> understanding about menstruation </w:t>
      </w:r>
      <w:r w:rsidR="0045510A" w:rsidRPr="00D42E39">
        <w:rPr>
          <w:rFonts w:asciiTheme="minorBidi" w:hAnsiTheme="minorBidi" w:cs="Times New Roman"/>
        </w:rPr>
        <w:t>more like a curse</w:t>
      </w:r>
      <w:r w:rsidR="00BE49D7" w:rsidRPr="00D42E39">
        <w:rPr>
          <w:rFonts w:asciiTheme="minorBidi" w:hAnsiTheme="minorBidi" w:cs="Times New Roman"/>
        </w:rPr>
        <w:t xml:space="preserve"> for being a person of female gender. </w:t>
      </w:r>
      <w:r w:rsidR="002A4CE5" w:rsidRPr="00D42E39">
        <w:rPr>
          <w:rFonts w:asciiTheme="minorBidi" w:hAnsiTheme="minorBidi" w:cs="Times New Roman"/>
        </w:rPr>
        <w:t>The stigma and discrimination may have potential ill effects</w:t>
      </w:r>
      <w:r w:rsidR="00362072" w:rsidRPr="00D42E39">
        <w:rPr>
          <w:rFonts w:asciiTheme="minorBidi" w:hAnsiTheme="minorBidi" w:cs="Times New Roman"/>
        </w:rPr>
        <w:t xml:space="preserve"> </w:t>
      </w:r>
      <w:r w:rsidR="002A4CE5" w:rsidRPr="00D42E39">
        <w:rPr>
          <w:rFonts w:asciiTheme="minorBidi" w:hAnsiTheme="minorBidi" w:cs="Times New Roman"/>
        </w:rPr>
        <w:t xml:space="preserve">in the </w:t>
      </w:r>
      <w:r w:rsidR="0001736E" w:rsidRPr="00D42E39">
        <w:rPr>
          <w:rFonts w:asciiTheme="minorBidi" w:hAnsiTheme="minorBidi" w:cs="Times New Roman"/>
        </w:rPr>
        <w:t>ways the</w:t>
      </w:r>
      <w:r w:rsidR="002A4CE5" w:rsidRPr="00D42E39">
        <w:rPr>
          <w:rFonts w:asciiTheme="minorBidi" w:hAnsiTheme="minorBidi" w:cs="Times New Roman"/>
        </w:rPr>
        <w:t xml:space="preserve"> girls</w:t>
      </w:r>
      <w:r w:rsidR="0001736E" w:rsidRPr="00D42E39">
        <w:rPr>
          <w:rFonts w:asciiTheme="minorBidi" w:hAnsiTheme="minorBidi" w:cs="Times New Roman"/>
        </w:rPr>
        <w:t xml:space="preserve"> </w:t>
      </w:r>
      <w:r w:rsidR="005D60A6" w:rsidRPr="00D42E39">
        <w:rPr>
          <w:rFonts w:asciiTheme="minorBidi" w:hAnsiTheme="minorBidi" w:cs="Times New Roman"/>
        </w:rPr>
        <w:t xml:space="preserve">feel about their body </w:t>
      </w:r>
      <w:r w:rsidR="00417F2F" w:rsidRPr="00D42E39">
        <w:rPr>
          <w:rFonts w:asciiTheme="minorBidi" w:hAnsiTheme="minorBidi" w:cs="Times New Roman"/>
        </w:rPr>
        <w:t xml:space="preserve">and </w:t>
      </w:r>
      <w:r w:rsidR="0001736E" w:rsidRPr="00D42E39">
        <w:rPr>
          <w:rFonts w:asciiTheme="minorBidi" w:hAnsiTheme="minorBidi" w:cs="Times New Roman"/>
        </w:rPr>
        <w:t>manage their menstruation.</w:t>
      </w:r>
    </w:p>
    <w:p w14:paraId="6E08F153" w14:textId="77777777" w:rsidR="00D42E39" w:rsidRDefault="00D42E39" w:rsidP="00D42E39">
      <w:pPr>
        <w:spacing w:after="0" w:line="240" w:lineRule="auto"/>
        <w:ind w:firstLine="567"/>
        <w:jc w:val="both"/>
        <w:rPr>
          <w:rFonts w:asciiTheme="minorBidi" w:hAnsiTheme="minorBidi" w:cs="Times New Roman"/>
        </w:rPr>
      </w:pPr>
    </w:p>
    <w:p w14:paraId="75C421BB" w14:textId="488E3589" w:rsidR="0045510A" w:rsidRPr="00D42E39" w:rsidRDefault="002E66D2" w:rsidP="00D42E39">
      <w:pPr>
        <w:spacing w:after="0" w:line="240" w:lineRule="auto"/>
        <w:ind w:firstLine="567"/>
        <w:jc w:val="both"/>
        <w:rPr>
          <w:rFonts w:asciiTheme="minorBidi" w:hAnsiTheme="minorBidi" w:cs="Times New Roman"/>
        </w:rPr>
      </w:pPr>
      <w:r w:rsidRPr="00D42E39">
        <w:rPr>
          <w:rFonts w:asciiTheme="minorBidi" w:hAnsiTheme="minorBidi" w:cs="Times New Roman"/>
        </w:rPr>
        <w:t xml:space="preserve">World-wide women have adopted different strategies to deal with menstruation. </w:t>
      </w:r>
      <w:r w:rsidR="0001736E" w:rsidRPr="00D42E39">
        <w:rPr>
          <w:rFonts w:asciiTheme="minorBidi" w:hAnsiTheme="minorBidi" w:cs="Times New Roman"/>
        </w:rPr>
        <w:t>The</w:t>
      </w:r>
      <w:r w:rsidR="005E235D">
        <w:rPr>
          <w:rFonts w:asciiTheme="minorBidi" w:hAnsiTheme="minorBidi" w:cs="Times New Roman"/>
        </w:rPr>
        <w:t>y</w:t>
      </w:r>
      <w:r w:rsidR="0001736E" w:rsidRPr="00D42E39">
        <w:rPr>
          <w:rFonts w:asciiTheme="minorBidi" w:hAnsiTheme="minorBidi" w:cs="Times New Roman"/>
        </w:rPr>
        <w:t xml:space="preserve"> </w:t>
      </w:r>
      <w:r w:rsidRPr="00D42E39">
        <w:rPr>
          <w:rFonts w:asciiTheme="minorBidi" w:hAnsiTheme="minorBidi" w:cs="Times New Roman"/>
        </w:rPr>
        <w:t>use sanitary pad</w:t>
      </w:r>
      <w:r w:rsidR="005E235D">
        <w:rPr>
          <w:rFonts w:asciiTheme="minorBidi" w:hAnsiTheme="minorBidi" w:cs="Times New Roman"/>
        </w:rPr>
        <w:t>s</w:t>
      </w:r>
      <w:r w:rsidRPr="00D42E39">
        <w:rPr>
          <w:rFonts w:asciiTheme="minorBidi" w:hAnsiTheme="minorBidi" w:cs="Times New Roman"/>
        </w:rPr>
        <w:t>, menstrual cup</w:t>
      </w:r>
      <w:r w:rsidR="005E235D">
        <w:rPr>
          <w:rFonts w:asciiTheme="minorBidi" w:hAnsiTheme="minorBidi" w:cs="Times New Roman"/>
        </w:rPr>
        <w:t>s</w:t>
      </w:r>
      <w:r w:rsidRPr="00D42E39">
        <w:rPr>
          <w:rFonts w:asciiTheme="minorBidi" w:hAnsiTheme="minorBidi" w:cs="Times New Roman"/>
        </w:rPr>
        <w:t>, clothes</w:t>
      </w:r>
      <w:r w:rsidR="005E235D">
        <w:rPr>
          <w:rFonts w:asciiTheme="minorBidi" w:hAnsiTheme="minorBidi" w:cs="Times New Roman"/>
        </w:rPr>
        <w:t>,</w:t>
      </w:r>
      <w:r w:rsidRPr="00D42E39">
        <w:rPr>
          <w:rFonts w:asciiTheme="minorBidi" w:hAnsiTheme="minorBidi" w:cs="Times New Roman"/>
        </w:rPr>
        <w:t xml:space="preserve"> etc.</w:t>
      </w:r>
      <w:r w:rsidR="005E235D">
        <w:rPr>
          <w:rFonts w:asciiTheme="minorBidi" w:hAnsiTheme="minorBidi" w:cs="Times New Roman"/>
        </w:rPr>
        <w:t>,</w:t>
      </w:r>
      <w:r w:rsidRPr="00D42E39">
        <w:rPr>
          <w:rFonts w:asciiTheme="minorBidi" w:hAnsiTheme="minorBidi" w:cs="Times New Roman"/>
        </w:rPr>
        <w:t xml:space="preserve"> as menstrual absorbent. </w:t>
      </w:r>
      <w:r w:rsidR="0001736E" w:rsidRPr="00D42E39">
        <w:rPr>
          <w:rFonts w:asciiTheme="minorBidi" w:hAnsiTheme="minorBidi" w:cs="Times New Roman"/>
        </w:rPr>
        <w:t>In India</w:t>
      </w:r>
      <w:r w:rsidR="005E235D">
        <w:rPr>
          <w:rFonts w:asciiTheme="minorBidi" w:hAnsiTheme="minorBidi" w:cs="Times New Roman"/>
        </w:rPr>
        <w:t xml:space="preserve"> the use of </w:t>
      </w:r>
      <w:r w:rsidR="00DC0FC0" w:rsidRPr="00D42E39">
        <w:rPr>
          <w:rFonts w:asciiTheme="minorBidi" w:hAnsiTheme="minorBidi" w:cs="Times New Roman"/>
        </w:rPr>
        <w:t>sanitary pad</w:t>
      </w:r>
      <w:r w:rsidR="005E235D">
        <w:rPr>
          <w:rFonts w:asciiTheme="minorBidi" w:hAnsiTheme="minorBidi" w:cs="Times New Roman"/>
        </w:rPr>
        <w:t>,</w:t>
      </w:r>
      <w:r w:rsidR="00DC0FC0" w:rsidRPr="00D42E39">
        <w:rPr>
          <w:rFonts w:asciiTheme="minorBidi" w:hAnsiTheme="minorBidi" w:cs="Times New Roman"/>
        </w:rPr>
        <w:t xml:space="preserve"> </w:t>
      </w:r>
      <w:r w:rsidR="0001736E" w:rsidRPr="00D42E39">
        <w:rPr>
          <w:rFonts w:asciiTheme="minorBidi" w:hAnsiTheme="minorBidi" w:cs="Times New Roman"/>
        </w:rPr>
        <w:t>which is considered as a better menstrual absorbent</w:t>
      </w:r>
      <w:r w:rsidR="005E235D">
        <w:rPr>
          <w:rFonts w:asciiTheme="minorBidi" w:hAnsiTheme="minorBidi" w:cs="Times New Roman"/>
        </w:rPr>
        <w:t>,</w:t>
      </w:r>
      <w:r w:rsidR="0001736E" w:rsidRPr="00D42E39">
        <w:rPr>
          <w:rFonts w:asciiTheme="minorBidi" w:hAnsiTheme="minorBidi" w:cs="Times New Roman"/>
        </w:rPr>
        <w:t xml:space="preserve"> is very low.</w:t>
      </w:r>
      <w:r w:rsidR="000848CE" w:rsidRPr="00D42E39">
        <w:rPr>
          <w:rFonts w:asciiTheme="minorBidi" w:hAnsiTheme="minorBidi" w:cs="Times New Roman"/>
        </w:rPr>
        <w:t xml:space="preserve"> Only one in three (37.2</w:t>
      </w:r>
      <w:r w:rsidR="00BC36F7">
        <w:rPr>
          <w:rFonts w:asciiTheme="minorBidi" w:hAnsiTheme="minorBidi" w:cs="Times New Roman"/>
        </w:rPr>
        <w:t>%</w:t>
      </w:r>
      <w:r w:rsidR="000848CE" w:rsidRPr="00D42E39">
        <w:rPr>
          <w:rFonts w:asciiTheme="minorBidi" w:hAnsiTheme="minorBidi" w:cs="Times New Roman"/>
        </w:rPr>
        <w:t>) young unmarried women use sanitary napkins or locally prepared napkin</w:t>
      </w:r>
      <w:r w:rsidR="005E235D">
        <w:rPr>
          <w:rFonts w:asciiTheme="minorBidi" w:hAnsiTheme="minorBidi" w:cs="Times New Roman"/>
        </w:rPr>
        <w:t>s</w:t>
      </w:r>
      <w:r w:rsidR="000848CE" w:rsidRPr="00D42E39">
        <w:rPr>
          <w:rFonts w:asciiTheme="minorBidi" w:hAnsiTheme="minorBidi" w:cs="Times New Roman"/>
        </w:rPr>
        <w:t xml:space="preserve"> (</w:t>
      </w:r>
      <w:r w:rsidR="000848CE" w:rsidRPr="00293394">
        <w:rPr>
          <w:rFonts w:asciiTheme="minorBidi" w:hAnsiTheme="minorBidi" w:cs="Times New Roman"/>
        </w:rPr>
        <w:t xml:space="preserve">IIPS, 2010). </w:t>
      </w:r>
      <w:r w:rsidR="002B7830" w:rsidRPr="00293394">
        <w:rPr>
          <w:rFonts w:asciiTheme="minorBidi" w:hAnsiTheme="minorBidi" w:cs="Times New Roman"/>
        </w:rPr>
        <w:t>S</w:t>
      </w:r>
      <w:r w:rsidR="000848CE" w:rsidRPr="00293394">
        <w:rPr>
          <w:rFonts w:asciiTheme="minorBidi" w:hAnsiTheme="minorBidi" w:cs="Times New Roman"/>
        </w:rPr>
        <w:t>tark</w:t>
      </w:r>
      <w:r w:rsidR="000848CE" w:rsidRPr="00D42E39">
        <w:rPr>
          <w:rFonts w:asciiTheme="minorBidi" w:hAnsiTheme="minorBidi" w:cs="Times New Roman"/>
        </w:rPr>
        <w:t xml:space="preserve"> differences are observed in the use of sanitary napkins by socio-economic status of young women </w:t>
      </w:r>
      <w:r w:rsidR="000848CE"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"author" : [ { "dropping-particle" : "", "family" : "Anand", "given" : "Enu", "non-dropping-particle" : "", "parse-names" : false, "suffix" : "" }, { "dropping-particle" : "", "family" : "Unisa", "given" : "Sayeed", "non-dropping-particle" : "", "parse-names" : false, "suffix" : "" }, { "dropping-particle" : "", "family" : "Singh", "given" : "Jayakant", "non-dropping-particle" : "", "parse-names" : false, "suffix" : "" } ], "container-title" : "Social Science Spectrum", "id" : "ITEM-1", "issue" : "1", "issued" : { "date-parts" : [ [ "2015" ] ] }, "page" : "20-31", "title" : "Menstrual Hygiene Management among Young Unmarried Women in India", "type" : "article-journal", "volume" : "1" }, "uris" : [ "http://www.mendeley.com/documents/?uuid=7caaf121-3911-4bbb-8102-b8792be3ee1c" ] }, { "id" : "ITEM-2", "itemData" : { "DOI" : "10.3389/fpubh.2014.00072", "ISSN" : "2296-2565", "PMID" : "25072044", "abstract" : "The main objective was to assess knowledge, practices, and restrictions faced by young women regarding their menstrual hygiene. The views of adult women having young daughters were also included and both views were compared. In addition, the factors influencing the menstrual hygiene practices were also studied. The study was carried out during 2008 in Mumbai, India. The mixed methods approach was followed for the data collection. Both qualitative and quantitative methods were used to collect the data. For quantitative survey, totally 192 respondents (96 adult and 96 younger women) were selected. While young women were asked about questions related to their menstruation, adult women were asked questions to find out how much they know about menstrual history of their daughters. The qualitative data helped to supplement the findings from the quantitative survey and to study the factors affecting menstrual practices in young women. The mean age at menarche reported was 13.4\u2009years and 30-40% of young girls did not receive any information about menstruation before menarche. It is thus seen that very few young girls between the age group 15 and 24\u2009years did receive any information before the onset of menstruation. Among those who received some information, it was not adequate enough. The source of information was also not authentic. Both young and adult women agreed on this. Due to the inadequate knowledge, there were certain unhygienic practices followed by the young girls resulting in poor menstrual hygiene. It also leads to many unnecessary restrictions on young girls and they faced many health problems and complaints, which were either ignored or managed inappropriately. The role of health sector was almost negligible from giving information to the management of health problems of these young girls. This paper reemphasizes the important, urgent, and neglected need of providing correct knowledge to the community including adolescent girls.", "author" : [ { "dropping-particle" : "", "family" : "Thakur", "given" : "Harshad", "non-dropping-particle" : "", "parse-names" : false, "suffix" : "" }, { "dropping-particle" : "", "family" : "Aronsson", "given" : "Annette", "non-dropping-particle" : "", "parse-names" : false, "suffix" : "" }, { "dropping-particle" : "", "family" : "Bansode", "given" : "Seema", "non-dropping-particle" : "", "parse-names" : false, "suffix" : "" }, { "dropping-particle" : "", "family" : "Stalsby Lundborg", "given" : "Cecilia", "non-dropping-particle" : "", "parse-names" : false, "suffix" : "" }, { "dropping-particle" : "", "family" : "Dalvie", "given" : "Suchitra", "non-dropping-particle" : "", "parse-names" : false, "suffix" : "" }, { "dropping-particle" : "", "family" : "Faxelid", "given" : "Elisabeth", "non-dropping-particle" : "", "parse-names" : false, "suffix" : "" } ], "container-title" : "Frontiers in public health", "id" : "ITEM-2", "issued" : { "date-parts" : [ [ "2014", "1" ] ] }, "page" : "72", "title" : "Knowledge, Practices, and Restrictions Related to Menstruation among Young Women from Low Socioeconomic Community in Mumbai, India.", "type" : "article-journal", "volume" : "2" }, "uris" : [ "http://www.mendeley.com/documents/?uuid=43a03082-2b99-44e2-b844-3723d46d5812" ] } ], "mendeley" : { "formattedCitation" : "(Anand, Unisa, &amp; Singh, 2015; Thakur et al., 2014)", "plainTextFormattedCitation" : "(Anand, Unisa, &amp; Singh, 2015; Thakur et al., 2014)", "previouslyFormattedCitation" : "(Anand et al., 2015b; Thakur et al., 2014)" }, "properties" : { "noteIndex" : 0 }, "schema" : "https://github.com/citation-style-language/schema/raw/master/csl-citation.json" }</w:instrText>
      </w:r>
      <w:r w:rsidR="000848CE" w:rsidRPr="00D42E39">
        <w:rPr>
          <w:rFonts w:asciiTheme="minorBidi" w:hAnsiTheme="minorBidi" w:cs="Times New Roman"/>
        </w:rPr>
        <w:fldChar w:fldCharType="separate"/>
      </w:r>
      <w:r w:rsidR="00C313A9" w:rsidRPr="00D42E39">
        <w:rPr>
          <w:rFonts w:asciiTheme="minorBidi" w:hAnsiTheme="minorBidi" w:cs="Times New Roman"/>
          <w:noProof/>
        </w:rPr>
        <w:t>(Anand, Unisa, &amp; Singh, 2015</w:t>
      </w:r>
      <w:r w:rsidR="00B71FBE">
        <w:rPr>
          <w:rFonts w:asciiTheme="minorBidi" w:hAnsiTheme="minorBidi" w:cs="Times New Roman"/>
          <w:noProof/>
        </w:rPr>
        <w:t>a</w:t>
      </w:r>
      <w:r w:rsidR="00C313A9" w:rsidRPr="00D42E39">
        <w:rPr>
          <w:rFonts w:asciiTheme="minorBidi" w:hAnsiTheme="minorBidi" w:cs="Times New Roman"/>
          <w:noProof/>
        </w:rPr>
        <w:t>; Thakur et al., 2014)</w:t>
      </w:r>
      <w:r w:rsidR="000848CE" w:rsidRPr="00D42E39">
        <w:rPr>
          <w:rFonts w:asciiTheme="minorBidi" w:hAnsiTheme="minorBidi" w:cs="Times New Roman"/>
        </w:rPr>
        <w:fldChar w:fldCharType="end"/>
      </w:r>
      <w:r w:rsidR="000848CE" w:rsidRPr="00D42E39">
        <w:rPr>
          <w:rFonts w:asciiTheme="minorBidi" w:hAnsiTheme="minorBidi" w:cs="Times New Roman"/>
        </w:rPr>
        <w:t>. Th</w:t>
      </w:r>
      <w:r w:rsidR="005D60A6" w:rsidRPr="00D42E39">
        <w:rPr>
          <w:rFonts w:asciiTheme="minorBidi" w:hAnsiTheme="minorBidi" w:cs="Times New Roman"/>
        </w:rPr>
        <w:t>e</w:t>
      </w:r>
      <w:r w:rsidR="000848CE" w:rsidRPr="00D42E39">
        <w:rPr>
          <w:rFonts w:asciiTheme="minorBidi" w:hAnsiTheme="minorBidi" w:cs="Times New Roman"/>
        </w:rPr>
        <w:t xml:space="preserve"> young women with high school and above education </w:t>
      </w:r>
      <w:r w:rsidR="0045510A" w:rsidRPr="00D42E39">
        <w:rPr>
          <w:rFonts w:asciiTheme="minorBidi" w:hAnsiTheme="minorBidi" w:cs="Times New Roman"/>
        </w:rPr>
        <w:t xml:space="preserve">are </w:t>
      </w:r>
      <w:r w:rsidR="000848CE" w:rsidRPr="00D42E39">
        <w:rPr>
          <w:rFonts w:asciiTheme="minorBidi" w:hAnsiTheme="minorBidi" w:cs="Times New Roman"/>
        </w:rPr>
        <w:lastRenderedPageBreak/>
        <w:t xml:space="preserve">eight times more likely to use sanitary napkins as compared to young women with no education </w:t>
      </w:r>
      <w:r w:rsidR="000848CE"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"author" : [ { "dropping-particle" : "", "family" : "Anand", "given" : "Enu", "non-dropping-particle" : "", "parse-names" : false, "suffix" : "" }, { "dropping-particle" : "", "family" : "Unisa", "given" : "Sayeed", "non-dropping-particle" : "", "parse-names" : false, "suffix" : "" }, { "dropping-particle" : "", "family" : "Singh", "given" : "Jayakant", "non-dropping-particle" : "", "parse-names" : false, "suffix" : "" } ], "container-title" : "Social Science Spectrum", "id" : "ITEM-1", "issue" : "1", "issued" : { "date-parts" : [ [ "2015" ] ] }, "page" : "20-31", "title" : "Menstrual Hygiene Management among Young Unmarried Women in India", "type" : "article-journal", "volume" : "1" }, "uris" : [ "http://www.mendeley.com/documents/?uuid=7caaf121-3911-4bbb-8102-b8792be3ee1c" ] } ], "mendeley" : { "formattedCitation" : "(Anand, Unisa, et al., 2015)", "plainTextFormattedCitation" : "(Anand, Unisa, et al., 2015)", "previouslyFormattedCitation" : "(Anand et al., 2015b)" }, "properties" : { "noteIndex" : 0 }, "schema" : "https://github.com/citation-style-language/schema/raw/master/csl-citation.json" }</w:instrText>
      </w:r>
      <w:r w:rsidR="000848CE" w:rsidRPr="00D42E39">
        <w:rPr>
          <w:rFonts w:asciiTheme="minorBidi" w:hAnsiTheme="minorBidi" w:cs="Times New Roman"/>
        </w:rPr>
        <w:fldChar w:fldCharType="separate"/>
      </w:r>
      <w:r w:rsidR="00C313A9" w:rsidRPr="00D42E39">
        <w:rPr>
          <w:rFonts w:asciiTheme="minorBidi" w:hAnsiTheme="minorBidi" w:cs="Times New Roman"/>
          <w:noProof/>
        </w:rPr>
        <w:t xml:space="preserve">(Anand, Unisa, </w:t>
      </w:r>
      <w:r w:rsidR="00261F3A">
        <w:rPr>
          <w:rFonts w:asciiTheme="minorBidi" w:hAnsiTheme="minorBidi" w:cs="Times New Roman"/>
          <w:noProof/>
        </w:rPr>
        <w:t>&amp; Singh</w:t>
      </w:r>
      <w:r w:rsidR="00B71FBE">
        <w:rPr>
          <w:rFonts w:asciiTheme="minorBidi" w:hAnsiTheme="minorBidi" w:cs="Times New Roman"/>
          <w:noProof/>
        </w:rPr>
        <w:t xml:space="preserve">, </w:t>
      </w:r>
      <w:r w:rsidR="00C313A9" w:rsidRPr="00D42E39">
        <w:rPr>
          <w:rFonts w:asciiTheme="minorBidi" w:hAnsiTheme="minorBidi" w:cs="Times New Roman"/>
          <w:noProof/>
        </w:rPr>
        <w:t>2015</w:t>
      </w:r>
      <w:r w:rsidR="00B71FBE">
        <w:rPr>
          <w:rFonts w:asciiTheme="minorBidi" w:hAnsiTheme="minorBidi" w:cs="Times New Roman"/>
          <w:noProof/>
        </w:rPr>
        <w:t>a</w:t>
      </w:r>
      <w:r w:rsidR="00C313A9" w:rsidRPr="00D42E39">
        <w:rPr>
          <w:rFonts w:asciiTheme="minorBidi" w:hAnsiTheme="minorBidi" w:cs="Times New Roman"/>
          <w:noProof/>
        </w:rPr>
        <w:t>)</w:t>
      </w:r>
      <w:r w:rsidR="000848CE" w:rsidRPr="00D42E39">
        <w:rPr>
          <w:rFonts w:asciiTheme="minorBidi" w:hAnsiTheme="minorBidi" w:cs="Times New Roman"/>
        </w:rPr>
        <w:fldChar w:fldCharType="end"/>
      </w:r>
      <w:r w:rsidR="000848CE" w:rsidRPr="00D42E39">
        <w:rPr>
          <w:rFonts w:asciiTheme="minorBidi" w:hAnsiTheme="minorBidi" w:cs="Times New Roman"/>
        </w:rPr>
        <w:t xml:space="preserve">. Similarly,  young women from higher wealth quintile </w:t>
      </w:r>
      <w:r w:rsidR="0045510A" w:rsidRPr="00D42E39">
        <w:rPr>
          <w:rFonts w:asciiTheme="minorBidi" w:hAnsiTheme="minorBidi" w:cs="Times New Roman"/>
        </w:rPr>
        <w:t xml:space="preserve">are </w:t>
      </w:r>
      <w:r w:rsidR="000848CE" w:rsidRPr="00D42E39">
        <w:rPr>
          <w:rFonts w:asciiTheme="minorBidi" w:hAnsiTheme="minorBidi" w:cs="Times New Roman"/>
        </w:rPr>
        <w:t>five times more likely to use sanitary napkin</w:t>
      </w:r>
      <w:r w:rsidR="0065395A">
        <w:rPr>
          <w:rFonts w:asciiTheme="minorBidi" w:hAnsiTheme="minorBidi" w:cs="Times New Roman"/>
        </w:rPr>
        <w:t>s</w:t>
      </w:r>
      <w:r w:rsidR="000848CE" w:rsidRPr="00D42E39">
        <w:rPr>
          <w:rFonts w:asciiTheme="minorBidi" w:hAnsiTheme="minorBidi" w:cs="Times New Roman"/>
        </w:rPr>
        <w:t xml:space="preserve"> during menstruation as compared </w:t>
      </w:r>
      <w:r w:rsidR="0065395A">
        <w:rPr>
          <w:rFonts w:asciiTheme="minorBidi" w:hAnsiTheme="minorBidi" w:cs="Times New Roman"/>
        </w:rPr>
        <w:t>with</w:t>
      </w:r>
      <w:r w:rsidR="000848CE" w:rsidRPr="00D42E39">
        <w:rPr>
          <w:rFonts w:asciiTheme="minorBidi" w:hAnsiTheme="minorBidi" w:cs="Times New Roman"/>
        </w:rPr>
        <w:t xml:space="preserve"> those from low wealth quintile </w:t>
      </w:r>
      <w:r w:rsidR="000848CE"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"DOI" : "10.1007/s10995-011-0798-5", "ISSN" : "1573-6628", "PMID" : "21505773", "abstract" : "The onset of menstruation is one of the most important physiological changes occurring among girls during the adolescent years. Menstruation heralds the onset of physiological maturity in girls. It becomes the part and parcel of their lives until menopause. Apart from personal importance, this phenomenon also has social significance. In India, menstruation is surrounded by myths and misconceptions with a long list of \"do's\" and \"don'ts\" for women. Hygiene-related practices of women during menstruation are of considerable importance, as it may increase vulnerability to Reproductive Tract Infections (RTI's). Poor menstrual hygiene is one of the major reasons for the high prevalence of RTIs in the country and contributes significantly to female morbidity. Most of the adolescent girls in villages use rags and old clothes during menstruation, increasing susceptibility to RTI's. Adolescents constitute one-fifths of India's population and yet their sexual health needs remain largely unaddressed in the national welfare programs. Poor menstrual hygiene in developing countries has been an insufficiently acknowledged problem. In June 2010, the Government of India proposed a new scheme towards menstrual hygiene by a provision of subsidized sanitary napkins to rural adolescent girls. But there are various other issues like awareness, availability and quality of napkins, regular supply, privacy, water supply, disposal of napkins, reproductive health education and family support which needs simultaneous attention for promotion of menstrual hygiene. The current article looks at the issue of menstrual hygiene not only from the health point of view, but also considers social and human rights values attached to it.", "author" : [ { "dropping-particle" : "", "family" : "Garg", "given" : "Rajesh", "non-dropping-particle" : "", "parse-names" : false, "suffix" : "" }, { "dropping-particle" : "", "family" : "Goyal", "given" : "Shobha", "non-dropping-particle" : "", "parse-names" : false, "suffix" : "" }, { "dropping-particle" : "", "family" : "Gupta", "given" : "Sanjeev", "non-dropping-particle" : "", "parse-names" : false, "suffix" : "" } ], "container-title" : "Maternal and child health journal", "id" : "ITEM-1", "issue" : "4", "issued" : { "date-parts" : [ [ "2012", "5" ] ] }, "page" : "767-74", "title" : "India moves towards menstrual hygiene: subsidized sanitary napkins for rural adolescent girls-issues and challenges.", "type" : "article-journal", "volume" : "16" }, "uris" : [ "http://www.mendeley.com/documents/?uuid=aaeae03d-081d-417e-a6c0-255da356a951" ] }, { "id" : "ITEM-2", "itemData" : { "author" : [ { "dropping-particle" : "", "family" : "Anand", "given" : "Enu", "non-dropping-particle" : "", "parse-names" : false, "suffix" : "" }, { "dropping-particle" : "", "family" : "Unisa", "given" : "Sayeed", "non-dropping-particle" : "", "parse-names" : false, "suffix" : "" }, { "dropping-particle" : "", "family" : "Singh", "given" : "Jayakant", "non-dropping-particle" : "", "parse-names" : false, "suffix" : "" } ], "container-title" : "Social Science Spectrum", "id" : "ITEM-2", "issue" : "1", "issued" : { "date-parts" : [ [ "2015" ] ] }, "page" : "20-31", "title" : "Menstrual Hygiene Management among Young Unmarried Women in India", "type" : "article-journal", "volume" : "1" }, "uris" : [ "http://www.mendeley.com/documents/?uuid=7caaf121-3911-4bbb-8102-b8792be3ee1c" ] } ], "mendeley" : { "formattedCitation" : "(Anand, Unisa, et al., 2015; R. Garg, Goyal, &amp; Gupta, 2012)", "plainTextFormattedCitation" : "(Anand, Unisa, et al., 2015; R. Garg, Goyal, &amp; Gupta, 2012)", "previouslyFormattedCitation" : "(Anand et al., 2015b; Garg et al., 2012)" }, "properties" : { "noteIndex" : 0 }, "schema" : "https://github.com/citation-style-language/schema/raw/master/csl-citation.json" }</w:instrText>
      </w:r>
      <w:r w:rsidR="000848CE" w:rsidRPr="00D42E39">
        <w:rPr>
          <w:rFonts w:asciiTheme="minorBidi" w:hAnsiTheme="minorBidi" w:cs="Times New Roman"/>
        </w:rPr>
        <w:fldChar w:fldCharType="separate"/>
      </w:r>
      <w:r w:rsidR="00C313A9" w:rsidRPr="00D42E39">
        <w:rPr>
          <w:rFonts w:asciiTheme="minorBidi" w:hAnsiTheme="minorBidi" w:cs="Times New Roman"/>
          <w:noProof/>
        </w:rPr>
        <w:t>(</w:t>
      </w:r>
      <w:r w:rsidR="0065395A">
        <w:rPr>
          <w:rFonts w:asciiTheme="minorBidi" w:hAnsiTheme="minorBidi" w:cs="Times New Roman"/>
          <w:noProof/>
        </w:rPr>
        <w:t>Ibid.</w:t>
      </w:r>
      <w:r w:rsidR="00C313A9" w:rsidRPr="00D42E39">
        <w:rPr>
          <w:rFonts w:asciiTheme="minorBidi" w:hAnsiTheme="minorBidi" w:cs="Times New Roman"/>
          <w:noProof/>
        </w:rPr>
        <w:t>, 2015</w:t>
      </w:r>
      <w:r w:rsidR="00296A26">
        <w:rPr>
          <w:rFonts w:asciiTheme="minorBidi" w:hAnsiTheme="minorBidi" w:cs="Times New Roman"/>
          <w:noProof/>
        </w:rPr>
        <w:t>a</w:t>
      </w:r>
      <w:r w:rsidR="00C313A9" w:rsidRPr="00D42E39">
        <w:rPr>
          <w:rFonts w:asciiTheme="minorBidi" w:hAnsiTheme="minorBidi" w:cs="Times New Roman"/>
          <w:noProof/>
        </w:rPr>
        <w:t>; Garg, Goyal, &amp; Gupta, 2012)</w:t>
      </w:r>
      <w:r w:rsidR="000848CE" w:rsidRPr="00D42E39">
        <w:rPr>
          <w:rFonts w:asciiTheme="minorBidi" w:hAnsiTheme="minorBidi" w:cs="Times New Roman"/>
        </w:rPr>
        <w:fldChar w:fldCharType="end"/>
      </w:r>
      <w:r w:rsidR="000848CE" w:rsidRPr="00D42E39">
        <w:rPr>
          <w:rFonts w:asciiTheme="minorBidi" w:hAnsiTheme="minorBidi" w:cs="Times New Roman"/>
        </w:rPr>
        <w:t>. Disparity in the use of sanitary napkins persist</w:t>
      </w:r>
      <w:r w:rsidR="0065395A">
        <w:rPr>
          <w:rFonts w:asciiTheme="minorBidi" w:hAnsiTheme="minorBidi" w:cs="Times New Roman"/>
        </w:rPr>
        <w:t>s</w:t>
      </w:r>
      <w:r w:rsidR="000848CE" w:rsidRPr="00D42E39">
        <w:rPr>
          <w:rFonts w:asciiTheme="minorBidi" w:hAnsiTheme="minorBidi" w:cs="Times New Roman"/>
        </w:rPr>
        <w:t xml:space="preserve"> by </w:t>
      </w:r>
      <w:r w:rsidR="00C74367" w:rsidRPr="00D42E39">
        <w:rPr>
          <w:rFonts w:asciiTheme="minorBidi" w:hAnsiTheme="minorBidi" w:cs="Times New Roman"/>
        </w:rPr>
        <w:t xml:space="preserve">the </w:t>
      </w:r>
      <w:r w:rsidR="000848CE" w:rsidRPr="00D42E39">
        <w:rPr>
          <w:rFonts w:asciiTheme="minorBidi" w:hAnsiTheme="minorBidi" w:cs="Times New Roman"/>
        </w:rPr>
        <w:t xml:space="preserve">place of residence of the girls </w:t>
      </w:r>
      <w:r w:rsidR="000848CE"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"ISSN" : "2248-9509", "abstract" : "Context: Adolescence in girls signifies the transition from girlhood to womanhood. Good menstrual hygiene is crucial for the health, education, and dignity of girls and women. This is an important sanitation issue which has long been in the closet and still there is a long standing need to openly discuss it. Aims:  1.  To elicit the knowledge and source of information regarding menstruation among the adolescent girl students.  2.  To find out the practices of menstrual hygiene among them. Settings and Design: Cross-Sectional study conducted in two randomly selected Inter colleges (one rural and one urban) of district Dehradun of Uttarakhand state. Methods and Material: 453 girls studying in 9th to 12th grades were interviewed by using a prestructured and pretested questionnaire. Statistical analysis used: percentages and Chi-square test Results: 64.5 % girls (71.1% Rural and 57% Urban) were aware about menstruation prior to the attainment of menarche. Awareness among rural girls was significantly more as compared to urban girls. Friends were the first informant in about 31.8 % girls. But the correct reason and source of bleeding during menstruation was not known to most of the respondents. Overall 38.4 % adolescent girls (48.1% Rural and 27.6% Urban) were using sanitary napkins as menstrual absorbent, while 30 % were using a new cloth/rag every time.  Conclusions: There is a need to educate the girls about menstruation, its importance and hygiene maintenance; so as to enable them to lead a healthy reproductive life in future.", "author" : [ { "dropping-particle" : "", "family" : "Juyal", "given" : "Ruchi", "non-dropping-particle" : "", "parse-names" : false, "suffix" : "" }, { "dropping-particle" : "", "family" : "Kandpal", "given" : "S D", "non-dropping-particle" : "", "parse-names" : false, "suffix" : "" }, { "dropping-particle" : "", "family" : "Semwal", "given" : "Jayanti", "non-dropping-particle" : "", "parse-names" : false, "suffix" : "" }, { "dropping-particle" : "", "family" : "Negi", "given" : "K S", "non-dropping-particle" : "", "parse-names" : false, "suffix" : "" } ], "container-title" : "Indian Journal of Community Health", "id" : "ITEM-1", "issue" : "2", "issued" : { "date-parts" : [ [ "2012", "7", "19" ] ] }, "language" : "en", "page" : "124-128", "title" : "PRACTICES OF MENSTRUAL HYGIENE AMONG ADOLESCENT GIRLS IN A DISTRICT OF UTTARAKHAND", "type" : "article", "volume" : "24" }, "uris" : [ "http://www.mendeley.com/documents/?uuid=92fa49a2-3428-4b03-8330-79f590b3653b" ] } ], "mendeley" : { "formattedCitation" : "(Ruchi Juyal, Kandpal, Semwal, &amp; Negi, 2012)", "plainTextFormattedCitation" : "(Ruchi Juyal, Kandpal, Semwal, &amp; Negi, 2012)", "previouslyFormattedCitation" : "(Juyal et al., 2012)" }, "properties" : { "noteIndex" : 0 }, "schema" : "https://github.com/citation-style-language/schema/raw/master/csl-citation.json" }</w:instrText>
      </w:r>
      <w:r w:rsidR="000848CE" w:rsidRPr="00D42E39">
        <w:rPr>
          <w:rFonts w:asciiTheme="minorBidi" w:hAnsiTheme="minorBidi" w:cs="Times New Roman"/>
        </w:rPr>
        <w:fldChar w:fldCharType="separate"/>
      </w:r>
      <w:r w:rsidR="00C313A9" w:rsidRPr="00D42E39">
        <w:rPr>
          <w:rFonts w:asciiTheme="minorBidi" w:hAnsiTheme="minorBidi" w:cs="Times New Roman"/>
          <w:noProof/>
        </w:rPr>
        <w:t>(Juyal, Kandpal, Semwal, &amp; Negi, 2012)</w:t>
      </w:r>
      <w:r w:rsidR="000848CE" w:rsidRPr="00D42E39">
        <w:rPr>
          <w:rFonts w:asciiTheme="minorBidi" w:hAnsiTheme="minorBidi" w:cs="Times New Roman"/>
        </w:rPr>
        <w:fldChar w:fldCharType="end"/>
      </w:r>
      <w:r w:rsidR="000848CE" w:rsidRPr="00D42E39">
        <w:rPr>
          <w:rFonts w:asciiTheme="minorBidi" w:hAnsiTheme="minorBidi" w:cs="Times New Roman"/>
        </w:rPr>
        <w:t xml:space="preserve">. </w:t>
      </w:r>
      <w:r w:rsidR="0065395A">
        <w:rPr>
          <w:rFonts w:asciiTheme="minorBidi" w:hAnsiTheme="minorBidi" w:cs="Times New Roman"/>
        </w:rPr>
        <w:t>G</w:t>
      </w:r>
      <w:r w:rsidR="000848CE" w:rsidRPr="00D42E39">
        <w:rPr>
          <w:rFonts w:asciiTheme="minorBidi" w:hAnsiTheme="minorBidi" w:cs="Times New Roman"/>
        </w:rPr>
        <w:t xml:space="preserve">irls from urban area </w:t>
      </w:r>
      <w:r w:rsidR="0045510A" w:rsidRPr="00D42E39">
        <w:rPr>
          <w:rFonts w:asciiTheme="minorBidi" w:hAnsiTheme="minorBidi" w:cs="Times New Roman"/>
        </w:rPr>
        <w:t xml:space="preserve">are </w:t>
      </w:r>
      <w:r w:rsidR="000848CE" w:rsidRPr="00D42E39">
        <w:rPr>
          <w:rFonts w:asciiTheme="minorBidi" w:hAnsiTheme="minorBidi" w:cs="Times New Roman"/>
        </w:rPr>
        <w:t xml:space="preserve">better educated about MHM </w:t>
      </w:r>
      <w:r w:rsidR="000848CE" w:rsidRPr="00293394">
        <w:rPr>
          <w:rFonts w:asciiTheme="minorBidi" w:hAnsiTheme="minorBidi" w:cs="Times New Roman"/>
        </w:rPr>
        <w:fldChar w:fldCharType="begin" w:fldLock="1"/>
      </w:r>
      <w:r w:rsidR="00C313A9" w:rsidRPr="00293394">
        <w:rPr>
          <w:rFonts w:asciiTheme="minorBidi" w:hAnsiTheme="minorBidi" w:cs="Times New Roman"/>
        </w:rPr>
        <w:instrText>ADDIN CSL_CITATION { "citationItems" : [ { "id" : "ITEM-1", "itemData" : { "author" : [ { "dropping-particle" : "", "family" : "Rupali Patle", "given" : "Sanjay Kubde", "non-dropping-particle" : "", "parse-names" : false, "suffix" : "" } ], "container-title" : "International Journal of Medical Science and Public Health", "id" : "ITEM-1", "issue" : "2", "issued" : { "date-parts" : [ [ "2014" ] ] }, "page" : "129-132", "title" : "Comparative study on menstrual hygiene in rural and urban adolescent girls", "type" : "article-journal", "volume" : "3" }, "uris" : [ "http://www.mendeley.com/documents/?uuid=a66b119f-fe30-427a-a4a0-e6cf75fea90b" ] } ], "mendeley" : { "formattedCitation" : "(Rupali Patle, 2014)", "plainTextFormattedCitation" : "(Rupali Patle, 2014)", "previouslyFormattedCitation" : "(Patle and Kubde, 2014)" }, "properties" : { "noteIndex" : 0 }, "schema" : "https://github.com/citation-style-language/schema/raw/master/csl-citation.json" }</w:instrText>
      </w:r>
      <w:r w:rsidR="000848CE" w:rsidRPr="00293394">
        <w:rPr>
          <w:rFonts w:asciiTheme="minorBidi" w:hAnsiTheme="minorBidi" w:cs="Times New Roman"/>
        </w:rPr>
        <w:fldChar w:fldCharType="separate"/>
      </w:r>
      <w:r w:rsidR="00C313A9" w:rsidRPr="00293394">
        <w:rPr>
          <w:rFonts w:asciiTheme="minorBidi" w:hAnsiTheme="minorBidi" w:cs="Times New Roman"/>
          <w:noProof/>
        </w:rPr>
        <w:t>(Patle</w:t>
      </w:r>
      <w:r w:rsidR="00293394" w:rsidRPr="00293394">
        <w:rPr>
          <w:rFonts w:asciiTheme="minorBidi" w:hAnsiTheme="minorBidi" w:cs="Times New Roman"/>
          <w:noProof/>
        </w:rPr>
        <w:t xml:space="preserve"> &amp; Kubde</w:t>
      </w:r>
      <w:r w:rsidR="00C313A9" w:rsidRPr="00293394">
        <w:rPr>
          <w:rFonts w:asciiTheme="minorBidi" w:hAnsiTheme="minorBidi" w:cs="Times New Roman"/>
          <w:noProof/>
        </w:rPr>
        <w:t>, 2014)</w:t>
      </w:r>
      <w:r w:rsidR="000848CE" w:rsidRPr="00293394">
        <w:rPr>
          <w:rFonts w:asciiTheme="minorBidi" w:hAnsiTheme="minorBidi" w:cs="Times New Roman"/>
        </w:rPr>
        <w:fldChar w:fldCharType="end"/>
      </w:r>
      <w:r w:rsidR="000848CE" w:rsidRPr="00D42E39">
        <w:rPr>
          <w:rFonts w:asciiTheme="minorBidi" w:hAnsiTheme="minorBidi" w:cs="Times New Roman"/>
        </w:rPr>
        <w:t xml:space="preserve"> and </w:t>
      </w:r>
      <w:r w:rsidR="0045510A" w:rsidRPr="00D42E39">
        <w:rPr>
          <w:rFonts w:asciiTheme="minorBidi" w:hAnsiTheme="minorBidi" w:cs="Times New Roman"/>
        </w:rPr>
        <w:t xml:space="preserve">are </w:t>
      </w:r>
      <w:r w:rsidR="000848CE" w:rsidRPr="00D42E39">
        <w:rPr>
          <w:rFonts w:asciiTheme="minorBidi" w:hAnsiTheme="minorBidi" w:cs="Times New Roman"/>
        </w:rPr>
        <w:t xml:space="preserve">more likely to use sanitary napkins as compared </w:t>
      </w:r>
      <w:r w:rsidR="0065395A">
        <w:rPr>
          <w:rFonts w:asciiTheme="minorBidi" w:hAnsiTheme="minorBidi" w:cs="Times New Roman"/>
        </w:rPr>
        <w:t>with</w:t>
      </w:r>
      <w:r w:rsidR="000848CE" w:rsidRPr="00D42E39">
        <w:rPr>
          <w:rFonts w:asciiTheme="minorBidi" w:hAnsiTheme="minorBidi" w:cs="Times New Roman"/>
        </w:rPr>
        <w:t xml:space="preserve"> th</w:t>
      </w:r>
      <w:r w:rsidR="0065395A">
        <w:rPr>
          <w:rFonts w:asciiTheme="minorBidi" w:hAnsiTheme="minorBidi" w:cs="Times New Roman"/>
        </w:rPr>
        <w:t>os</w:t>
      </w:r>
      <w:r w:rsidR="000848CE" w:rsidRPr="00D42E39">
        <w:rPr>
          <w:rFonts w:asciiTheme="minorBidi" w:hAnsiTheme="minorBidi" w:cs="Times New Roman"/>
        </w:rPr>
        <w:t xml:space="preserve">e  from rural area </w:t>
      </w:r>
      <w:r w:rsidR="000848CE"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"ISSN" : "2248-9509", "abstract" : "Context: Adolescence in girls signifies the transition from girlhood to womanhood. Good menstrual hygiene is crucial for the health, education, and dignity of girls and women. This is an important sanitation issue which has long been in the closet and still there is a long standing need to openly discuss it. Aims:  1.  To elicit the knowledge and source of information regarding menstruation among the adolescent girl students.  2.  To find out the practices of menstrual hygiene among them. Settings and Design: Cross-Sectional study conducted in two randomly selected Inter colleges (one rural and one urban) of district Dehradun of Uttarakhand state. Methods and Material: 453 girls studying in 9th to 12th grades were interviewed by using a prestructured and pretested questionnaire. Statistical analysis used: percentages and Chi-square test Results: 64.5 % girls (71.1% Rural and 57% Urban) were aware about menstruation prior to the attainment of menarche. Awareness among rural girls was significantly more as compared to urban girls. Friends were the first informant in about 31.8 % girls. But the correct reason and source of bleeding during menstruation was not known to most of the respondents. Overall 38.4 % adolescent girls (48.1% Rural and 27.6% Urban) were using sanitary napkins as menstrual absorbent, while 30 % were using a new cloth/rag every time.  Conclusions: There is a need to educate the girls about menstruation, its importance and hygiene maintenance; so as to enable them to lead a healthy reproductive life in future.", "author" : [ { "dropping-particle" : "", "family" : "Juyal", "given" : "Ruchi", "non-dropping-particle" : "", "parse-names" : false, "suffix" : "" }, { "dropping-particle" : "", "family" : "Kandpal", "given" : "S D", "non-dropping-particle" : "", "parse-names" : false, "suffix" : "" }, { "dropping-particle" : "", "family" : "Semwal", "given" : "Jayanti", "non-dropping-particle" : "", "parse-names" : false, "suffix" : "" }, { "dropping-particle" : "", "family" : "Negi", "given" : "K S", "non-dropping-particle" : "", "parse-names" : false, "suffix" : "" } ], "container-title" : "Indian Journal of Community Health", "id" : "ITEM-1", "issue" : "2", "issued" : { "date-parts" : [ [ "2012", "7", "19" ] ] }, "language" : "en", "page" : "124-128", "title" : "PRACTICES OF MENSTRUAL HYGIENE AMONG ADOLESCENT GIRLS IN A DISTRICT OF UTTARAKHAND", "type" : "article", "volume" : "24" }, "uris" : [ "http://www.mendeley.com/documents/?uuid=92fa49a2-3428-4b03-8330-79f590b3653b" ] } ], "mendeley" : { "formattedCitation" : "(Ruchi Juyal et al., 2012)", "plainTextFormattedCitation" : "(Ruchi Juyal et al., 2012)", "previouslyFormattedCitation" : "(Juyal et al., 2012)" }, "properties" : { "noteIndex" : 0 }, "schema" : "https://github.com/citation-style-language/schema/raw/master/csl-citation.json" }</w:instrText>
      </w:r>
      <w:r w:rsidR="000848CE" w:rsidRPr="00D42E39">
        <w:rPr>
          <w:rFonts w:asciiTheme="minorBidi" w:hAnsiTheme="minorBidi" w:cs="Times New Roman"/>
        </w:rPr>
        <w:fldChar w:fldCharType="separate"/>
      </w:r>
      <w:r w:rsidR="00C313A9" w:rsidRPr="00D42E39">
        <w:rPr>
          <w:rFonts w:asciiTheme="minorBidi" w:hAnsiTheme="minorBidi" w:cs="Times New Roman"/>
          <w:noProof/>
        </w:rPr>
        <w:t>(Juyal et al., 2012)</w:t>
      </w:r>
      <w:r w:rsidR="000848CE" w:rsidRPr="00D42E39">
        <w:rPr>
          <w:rFonts w:asciiTheme="minorBidi" w:hAnsiTheme="minorBidi" w:cs="Times New Roman"/>
        </w:rPr>
        <w:fldChar w:fldCharType="end"/>
      </w:r>
      <w:r w:rsidR="000848CE" w:rsidRPr="00D42E39">
        <w:rPr>
          <w:rFonts w:asciiTheme="minorBidi" w:hAnsiTheme="minorBidi" w:cs="Times New Roman"/>
        </w:rPr>
        <w:t>.</w:t>
      </w:r>
      <w:r w:rsidR="002B7830" w:rsidRPr="00D42E39">
        <w:rPr>
          <w:rFonts w:asciiTheme="minorBidi" w:hAnsiTheme="minorBidi" w:cs="Times New Roman"/>
        </w:rPr>
        <w:t xml:space="preserve"> </w:t>
      </w:r>
    </w:p>
    <w:p w14:paraId="040D8A4C" w14:textId="77777777" w:rsidR="00D42E39" w:rsidRDefault="00D42E39" w:rsidP="00D42E39">
      <w:pPr>
        <w:spacing w:after="0" w:line="240" w:lineRule="auto"/>
        <w:ind w:firstLine="567"/>
        <w:jc w:val="both"/>
        <w:rPr>
          <w:rFonts w:asciiTheme="minorBidi" w:hAnsiTheme="minorBidi" w:cs="Times New Roman"/>
        </w:rPr>
      </w:pPr>
    </w:p>
    <w:p w14:paraId="004EF8A6" w14:textId="01FC6BEA" w:rsidR="00FB15E3" w:rsidRPr="00D42E39" w:rsidRDefault="00173289" w:rsidP="00D42E39">
      <w:pPr>
        <w:spacing w:after="0" w:line="240" w:lineRule="auto"/>
        <w:ind w:firstLine="567"/>
        <w:jc w:val="both"/>
        <w:rPr>
          <w:rFonts w:asciiTheme="minorBidi" w:hAnsiTheme="minorBidi" w:cs="Times New Roman"/>
        </w:rPr>
      </w:pPr>
      <w:r w:rsidRPr="00D42E39">
        <w:rPr>
          <w:rFonts w:asciiTheme="minorBidi" w:hAnsiTheme="minorBidi" w:cs="Times New Roman"/>
        </w:rPr>
        <w:t>Clothes and rags are the most common form</w:t>
      </w:r>
      <w:r w:rsidR="0045510A" w:rsidRPr="00D42E39">
        <w:rPr>
          <w:rFonts w:asciiTheme="minorBidi" w:hAnsiTheme="minorBidi" w:cs="Times New Roman"/>
        </w:rPr>
        <w:t>s</w:t>
      </w:r>
      <w:r w:rsidRPr="00D42E39">
        <w:rPr>
          <w:rFonts w:asciiTheme="minorBidi" w:hAnsiTheme="minorBidi" w:cs="Times New Roman"/>
        </w:rPr>
        <w:t xml:space="preserve"> of menstrual absorbent used in low-income settings such as India </w:t>
      </w:r>
      <w:r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"DOI" : "10.1080/13552071003600083", "ISSN" : "1355-2074", "author" : [ { "dropping-particle" : "", "family" : "Mahon", "given" : "Th\u00e9r\u00e8se", "non-dropping-particle" : "", "parse-names" : false, "suffix" : "" }, { "dropping-particle" : "", "family" : "Fernandes", "given" : "Maria", "non-dropping-particle" : "", "parse-names" : false, "suffix" : "" } ], "container-title" : "Gender &amp; Development", "id" : "ITEM-1", "issue" : "1", "issued" : { "date-parts" : [ [ "2010", "3" ] ] }, "page" : "99-113", "title" : "Menstrual hygiene in South Asia: a neglected issue for WASH (water, sanitation and hygiene) programmes", "type" : "article-journal", "volume" : "18" }, "uris" : [ "http://www.mendeley.com/documents/?uuid=642856dc-cc88-41e1-937e-fb425bea1430" ] } ], "mendeley" : { "formattedCitation" : "(Mahon &amp; Fernandes, 2010)", "plainTextFormattedCitation" : "(Mahon &amp; Fernandes, 2010)", "previouslyFormattedCitation" : "(Mahon and Fernandes, 2010)" }, "properties" : { "noteIndex" : 0 }, "schema" : "https://github.com/citation-style-language/schema/raw/master/csl-citation.json" }</w:instrText>
      </w:r>
      <w:r w:rsidRPr="00D42E39">
        <w:rPr>
          <w:rFonts w:asciiTheme="minorBidi" w:hAnsiTheme="minorBidi" w:cs="Times New Roman"/>
        </w:rPr>
        <w:fldChar w:fldCharType="separate"/>
      </w:r>
      <w:r w:rsidR="00C313A9" w:rsidRPr="00D42E39">
        <w:rPr>
          <w:rFonts w:asciiTheme="minorBidi" w:hAnsiTheme="minorBidi" w:cs="Times New Roman"/>
          <w:noProof/>
        </w:rPr>
        <w:t>(Mahon &amp; Fernandes, 2010)</w:t>
      </w:r>
      <w:r w:rsidRPr="00D42E39">
        <w:rPr>
          <w:rFonts w:asciiTheme="minorBidi" w:hAnsiTheme="minorBidi" w:cs="Times New Roman"/>
        </w:rPr>
        <w:fldChar w:fldCharType="end"/>
      </w:r>
      <w:r w:rsidRPr="00D42E39">
        <w:rPr>
          <w:rFonts w:asciiTheme="minorBidi" w:hAnsiTheme="minorBidi" w:cs="Times New Roman"/>
        </w:rPr>
        <w:t>. Often times, the use of clothes or rags</w:t>
      </w:r>
      <w:r w:rsidR="0065395A">
        <w:rPr>
          <w:rFonts w:asciiTheme="minorBidi" w:hAnsiTheme="minorBidi" w:cs="Times New Roman"/>
        </w:rPr>
        <w:t xml:space="preserve"> is </w:t>
      </w:r>
      <w:r w:rsidRPr="00D42E39">
        <w:rPr>
          <w:rFonts w:asciiTheme="minorBidi" w:hAnsiTheme="minorBidi" w:cs="Times New Roman"/>
        </w:rPr>
        <w:t xml:space="preserve">unhygienic because it is generally an old </w:t>
      </w:r>
      <w:r w:rsidR="0065395A">
        <w:rPr>
          <w:rFonts w:asciiTheme="minorBidi" w:hAnsiTheme="minorBidi" w:cs="Times New Roman"/>
        </w:rPr>
        <w:t xml:space="preserve">and </w:t>
      </w:r>
      <w:r w:rsidRPr="00D42E39">
        <w:rPr>
          <w:rFonts w:asciiTheme="minorBidi" w:hAnsiTheme="minorBidi" w:cs="Times New Roman"/>
        </w:rPr>
        <w:t>used clothes re-</w:t>
      </w:r>
      <w:r w:rsidR="0045510A" w:rsidRPr="00D42E39">
        <w:rPr>
          <w:rFonts w:asciiTheme="minorBidi" w:hAnsiTheme="minorBidi" w:cs="Times New Roman"/>
        </w:rPr>
        <w:t xml:space="preserve">used during menstruation. </w:t>
      </w:r>
      <w:r w:rsidR="002A4CE5" w:rsidRPr="00D42E39">
        <w:rPr>
          <w:rFonts w:asciiTheme="minorBidi" w:hAnsiTheme="minorBidi" w:cs="Times New Roman"/>
        </w:rPr>
        <w:t>Various studies have indicated that t</w:t>
      </w:r>
      <w:r w:rsidR="003E348F" w:rsidRPr="00D42E39">
        <w:rPr>
          <w:rFonts w:asciiTheme="minorBidi" w:hAnsiTheme="minorBidi" w:cs="Times New Roman"/>
        </w:rPr>
        <w:t xml:space="preserve">he </w:t>
      </w:r>
      <w:r w:rsidR="0045510A" w:rsidRPr="00D42E39">
        <w:rPr>
          <w:rFonts w:asciiTheme="minorBidi" w:hAnsiTheme="minorBidi" w:cs="Times New Roman"/>
        </w:rPr>
        <w:t xml:space="preserve">clothes </w:t>
      </w:r>
      <w:r w:rsidR="003E348F" w:rsidRPr="00D42E39">
        <w:rPr>
          <w:rFonts w:asciiTheme="minorBidi" w:hAnsiTheme="minorBidi" w:cs="Times New Roman"/>
        </w:rPr>
        <w:t xml:space="preserve">used to absorb menstrual blood </w:t>
      </w:r>
      <w:r w:rsidR="0045510A" w:rsidRPr="00D42E39">
        <w:rPr>
          <w:rFonts w:asciiTheme="minorBidi" w:hAnsiTheme="minorBidi" w:cs="Times New Roman"/>
        </w:rPr>
        <w:t>are</w:t>
      </w:r>
      <w:r w:rsidRPr="00D42E39">
        <w:rPr>
          <w:rFonts w:asciiTheme="minorBidi" w:hAnsiTheme="minorBidi" w:cs="Times New Roman"/>
        </w:rPr>
        <w:t xml:space="preserve"> washed hurriedly without applying soap or disinfect</w:t>
      </w:r>
      <w:r w:rsidR="0065395A">
        <w:rPr>
          <w:rFonts w:asciiTheme="minorBidi" w:hAnsiTheme="minorBidi" w:cs="Times New Roman"/>
        </w:rPr>
        <w:t xml:space="preserve">ant </w:t>
      </w:r>
      <w:r w:rsidRPr="00D42E39">
        <w:rPr>
          <w:rFonts w:asciiTheme="minorBidi" w:hAnsiTheme="minorBidi" w:cs="Times New Roman"/>
        </w:rPr>
        <w:t xml:space="preserve"> solutions, dried in a secluded place with no direct sunlight and air in order to avoid the sight of men </w:t>
      </w:r>
      <w:r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"author" : [ { "dropping-particle" : "", "family" : "Mudey", "given" : "Abhay Bhausaheb", "non-dropping-particle" : "", "parse-names" : false, "suffix" : "" }, { "dropping-particle" : "", "family" : "Kesharwani", "given" : "Naveeta", "non-dropping-particle" : "", "parse-names" : false, "suffix" : "" }, { "dropping-particle" : "", "family" : "Mudey", "given" : "Gargi Abhay", "non-dropping-particle" : "", "parse-names" : false, "suffix" : "" }, { "dropping-particle" : "", "family" : "Goyal", "given" : "Ramchandra C.", "non-dropping-particle" : "", "parse-names" : false, "suffix" : "" } ], "container-title" : "Global Journal of Health Science", "id" : "ITEM-1", "issue" : "2", "issued" : { "date-parts" : [ [ "2010" ] ] }, "page" : "225-231", "title" : "A Cross-sectional Study on Awareness Regarding Safe and Hygienic Practices amongst School Going Adolescent Girls in Rural Area of Wardha District, India", "type" : "article-journal", "volume" : "2" }, "uris" : [ "http://www.mendeley.com/documents/?uuid=b1e3c5f8-6695-4a8f-9a14-1a8757a2757d" ] }, { "id" : "ITEM-2", "itemData" : { "DOI" : "10.1017/CBO9781107415324.004", "ISBN" : "9788578110796", "ISSN" : "1098-6596", "PMID" : "25246403", "author" : [ { "dropping-particle" : "", "family" : "Baridalyne", "given" : "N", "non-dropping-particle" : "", "parse-names" : false, "suffix" : "" }, { "dropping-particle" : "", "family" : "Reddaiah", "given" : "V.P", "non-dropping-particle" : "", "parse-names" : false, "suffix" : "" } ], "container-title" : "Health and Population-Perspectives and Issues", "id" : "ITEM-2", "issue" : "1", "issued" : { "date-parts" : [ [ "2004" ] ] }, "page" : "9-16", "title" : "MENSTRUATION: KNOWLEDGE, BELIEFS AND PRACTICES OFWOMEN IN THE REPRODUCTIVE AGE GROUP RESIDING IN AN URBAN RESETTLEMENT COLONY OF DELHI N.", "type" : "article-journal", "volume" : "27" }, "uris" : [ "http://www.mendeley.com/documents/?uuid=765b0c1d-f340-4fb4-ba68-dbd17a114cf0", "http://www.mendeley.com/documents/?uuid=84ae9c2e-f27f-4653-bb6f-7464d2f1fd0c" ] }, { "id" : "ITEM-3", "itemData" : { "ISSN" : "2248-9509", "abstract" : "Context: Adolescence in girls signifies the transition from girlhood to womanhood. Good menstrual hygiene is crucial for the health, education, and dignity of girls and women. This is an important sanitation issue which has long been in the closet and still there is a long standing need to openly discuss it. Aims:  1.  To elicit the knowledge and source of information regarding menstruation among the adolescent girl students.  2.  To find out the practices of menstrual hygiene among them. Settings and Design: Cross-Sectional study conducted in two randomly selected Inter colleges (one rural and one urban) of district Dehradun of Uttarakhand state. Methods and Material: 453 girls studying in 9th to 12th grades were interviewed by using a prestructured and pretested questionnaire. Statistical analysis used: percentages and Chi-square test Results: 64.5 % girls (71.1% Rural and 57% Urban) were aware about menstruation prior to the attainment of menarche. Awareness among rural girls was significantly more as compared to urban girls. Friends were the first informant in about 31.8 % girls. But the correct reason and source of bleeding during menstruation was not known to most of the respondents. Overall 38.4 % adolescent girls (48.1% Rural and 27.6% Urban) were using sanitary napkins as menstrual absorbent, while 30 % were using a new cloth/rag every time.  Conclusions: There is a need to educate the girls about menstruation, its importance and hygiene maintenance; so as to enable them to lead a healthy reproductive life in future.", "author" : [ { "dropping-particle" : "", "family" : "Juyal", "given" : "Ruchi", "non-dropping-particle" : "", "parse-names" : false, "suffix" : "" }, { "dropping-particle" : "", "family" : "Kandpal", "given" : "S D", "non-dropping-particle" : "", "parse-names" : false, "suffix" : "" }, { "dropping-particle" : "", "family" : "Semwal", "given" : "Jayanti", "non-dropping-particle" : "", "parse-names" : false, "suffix" : "" }, { "dropping-particle" : "", "family" : "Negi", "given" : "K S", "non-dropping-particle" : "", "parse-names" : false, "suffix" : "" } ], "container-title" : "Indian Journal of Community Health", "id" : "ITEM-3", "issue" : "2", "issued" : { "date-parts" : [ [ "2012", "7", "19" ] ] }, "language" : "en", "page" : "124-128", "title" : "PRACTICES OF MENSTRUAL HYGIENE AMONG ADOLESCENT GIRLS IN A DISTRICT OF UTTARAKHAND", "type" : "article", "volume" : "24" }, "uris" : [ "http://www.mendeley.com/documents/?uuid=92fa49a2-3428-4b03-8330-79f590b3653b" ] }, { "id" : "ITEM-4", "itemData" : { "DOI" : "10.1080/13552071003600083", "ISSN" : "1355-2074", "author" : [ { "dropping-particle" : "", "family" : "Mahon", "given" : "Th\u00e9r\u00e8se", "non-dropping-particle" : "", "parse-names" : false, "suffix" : "" }, { "dropping-particle" : "", "family" : "Fernandes", "given" : "Maria", "non-dropping-particle" : "", "parse-names" : false, "suffix" : "" } ], "container-title" : "Gender &amp; Development", "id" : "ITEM-4", "issue" : "1", "issued" : { "date-parts" : [ [ "2010", "3" ] ] }, "page" : "99-113", "title" : "Menstrual hygiene in South Asia: a neglected issue for WASH (water, sanitation and hygiene) programmes", "type" : "article-journal", "volume" : "18" }, "uris" : [ "http://www.mendeley.com/documents/?uuid=642856dc-cc88-41e1-937e-fb425bea1430" ] } ], "mendeley" : { "formattedCitation" : "(Baridalyne &amp; Reddaiah, 2004; Ruchi Juyal et al., 2012; Mahon &amp; Fernandes, 2010; Mudey, Kesharwani, Mudey, &amp; Goyal, 2010)", "plainTextFormattedCitation" : "(Baridalyne &amp; Reddaiah, 2004; Ruchi Juyal et al., 2012; Mahon &amp; Fernandes, 2010; Mudey, Kesharwani, Mudey, &amp; Goyal, 2010)", "previouslyFormattedCitation" : "(Baridalyne and Reddaiah, 2004; Juyal et al., 2012; Mahon and Fernandes, 2010; Mudey et al., 2010)" }, "properties" : { "noteIndex" : 0 }, "schema" : "https://github.com/citation-style-language/schema/raw/master/csl-citation.json" }</w:instrText>
      </w:r>
      <w:r w:rsidRPr="00D42E39">
        <w:rPr>
          <w:rFonts w:asciiTheme="minorBidi" w:hAnsiTheme="minorBidi" w:cs="Times New Roman"/>
        </w:rPr>
        <w:fldChar w:fldCharType="separate"/>
      </w:r>
      <w:r w:rsidR="00C313A9" w:rsidRPr="00D42E39">
        <w:rPr>
          <w:rFonts w:asciiTheme="minorBidi" w:hAnsiTheme="minorBidi" w:cs="Times New Roman"/>
          <w:noProof/>
        </w:rPr>
        <w:t>(Baridalyne &amp; Reddaiah, 2004; Juyal et al., 2012; Mahon &amp; Fernandes, 2010; Mudey, Kesharwani, Mudey, &amp; Goyal, 2010)</w:t>
      </w:r>
      <w:r w:rsidRPr="00D42E39">
        <w:rPr>
          <w:rFonts w:asciiTheme="minorBidi" w:hAnsiTheme="minorBidi" w:cs="Times New Roman"/>
        </w:rPr>
        <w:fldChar w:fldCharType="end"/>
      </w:r>
      <w:r w:rsidRPr="00D42E39">
        <w:rPr>
          <w:rFonts w:asciiTheme="minorBidi" w:hAnsiTheme="minorBidi" w:cs="Times New Roman"/>
        </w:rPr>
        <w:t>.</w:t>
      </w:r>
      <w:r w:rsidR="0045510A" w:rsidRPr="00D42E39">
        <w:rPr>
          <w:rFonts w:asciiTheme="minorBidi" w:hAnsiTheme="minorBidi" w:cs="Times New Roman"/>
        </w:rPr>
        <w:t xml:space="preserve"> </w:t>
      </w:r>
      <w:r w:rsidR="001D544E" w:rsidRPr="00D42E39">
        <w:rPr>
          <w:rFonts w:asciiTheme="minorBidi" w:hAnsiTheme="minorBidi" w:cs="Times New Roman"/>
        </w:rPr>
        <w:t>U</w:t>
      </w:r>
      <w:r w:rsidRPr="00D42E39">
        <w:rPr>
          <w:rFonts w:asciiTheme="minorBidi" w:hAnsiTheme="minorBidi" w:cs="Times New Roman"/>
        </w:rPr>
        <w:t xml:space="preserve">nhygienic practices during menstruation </w:t>
      </w:r>
      <w:r w:rsidR="001D544E" w:rsidRPr="00D42E39">
        <w:rPr>
          <w:rFonts w:asciiTheme="minorBidi" w:hAnsiTheme="minorBidi" w:cs="Times New Roman"/>
        </w:rPr>
        <w:t xml:space="preserve">affect </w:t>
      </w:r>
      <w:r w:rsidRPr="00D42E39">
        <w:rPr>
          <w:rFonts w:asciiTheme="minorBidi" w:hAnsiTheme="minorBidi" w:cs="Times New Roman"/>
        </w:rPr>
        <w:t>the health of the women. The use of clothes</w:t>
      </w:r>
      <w:r w:rsidR="0045510A" w:rsidRPr="00D42E39">
        <w:rPr>
          <w:rFonts w:asciiTheme="minorBidi" w:hAnsiTheme="minorBidi" w:cs="Times New Roman"/>
        </w:rPr>
        <w:t xml:space="preserve"> elevates</w:t>
      </w:r>
      <w:r w:rsidRPr="00D42E39">
        <w:rPr>
          <w:rFonts w:asciiTheme="minorBidi" w:hAnsiTheme="minorBidi" w:cs="Times New Roman"/>
        </w:rPr>
        <w:t xml:space="preserve"> the risk of Reproductive Tract Infections </w:t>
      </w:r>
      <w:r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"DOI" : "10.1016/j.srhc.2015.06.001", "ISSN" : "18775756", "abstract" : "Objective: The objective was to explore the determinants of menstrual hygienic practices and its effect on Reproductive Tract Infections (RTI) among ever married women in India. Methods: District Level Household and Facility Survey-3 (DLHS) India data have been used in the study. The respondents constituted ever married women (N = 577,758) in the age group of 15-49. Bivariate and multivariate techniques were employed using IBM SPSS statistics 20. Individual effects of socio economic, demographic and gynecological factors on menstrual hygienic practices, RTIs and abnormal vaginal discharged respectively were calculated using binary logistic regression. Results: A meager 15% of women used sanitary pad/locally prepared napkins during menstruation in India. Both RTI and Vaginal discharge were positively related with non-use of hygienic methods. The women who used unhygienic method during menstruation were more likely to have any symptom of RTI (OR = 1.046, p &lt; 0.001, CI = 1.021-1.071) and vaginal discharge (OR = 1.303, p &lt; 0.001, CI = 1.266-1.341). Conclusion: The reason for the symptoms of RTI may be diverse and not only limited to the unhygienic menstrual practices although this may be one of the reasons causing reproductive morbidity. Awareness, affordability and privacy are some of the major concerns that need immediate attention to promote the use of sanitary pad during the time of menstruation. Establishing relation between menstrual practices and RTI is in its initial stage of investigation and hence needs further research.", "author" : [ { "dropping-particle" : "", "family" : "Anand", "given" : "Enu", "non-dropping-particle" : "", "parse-names" : false, "suffix" : "" }, { "dropping-particle" : "", "family" : "Singh", "given" : "Jayakant", "non-dropping-particle" : "", "parse-names" : false, "suffix" : "" }, { "dropping-particle" : "", "family" : "Unisa", "given" : "Sayeed", "non-dropping-particle" : "", "parse-names" : false, "suffix" : "" } ], "container-title" : "Sexual &amp; Reproductive Healthcare", "id" : "ITEM-1", "issue" : "4", "issued" : { "date-parts" : [ [ "2015" ] ] }, "page" : "249-254", "publisher" : "Elsevier B.V.", "title" : "Menstrual hygiene practices and its association with reproductive tract infections and abnormal vaginal discharge among women in India", "type" : "article-journal", "volume" : "6" }, "uris" : [ "http://www.mendeley.com/documents/?uuid=fb4795db-0170-45d9-875d-e9681a24169c" ] }, { "id" : "ITEM-2", "itemData" : { "DOI" : "10.1371/journal.pone.0130777", "ISSN" : "1932-6203", "PMID" : "26125184", "abstract" : "Menstrual hygiene management (MHM) practices vary worldwide and depend on the individual's socioeconomic status, personal preferences, local traditions and beliefs, and access to water and sanitation resources. MHM practices can be particularly unhygienic and inconvenient for girls and women in poorer settings. Little is known about whether unhygienic MHM practices increase a woman's exposure to urogenital infections, such as bacterial vaginosis (BV) and urinary tract infection (UTI). This study aimed to determine the association of MHM practices with urogenital infections, controlling for environmental drivers. A hospital-based case-control study was conducted on 486 women at Odisha, India. Cases and controls were recruited using a syndromic approach. Vaginal swabs were collected from all the participants and tested for BV status using Amsel's criteria. Urine samples were cultured to assess UTI status. Socioeconomic status, clinical symptoms and reproductive history, and MHM and water and sanitation practices were obtained by standardised questionnaire. A total of 486 women were recruited to the study, 228 symptomatic cases and 258 asymptomatic controls. Women who used reusable absorbent pads were more likely to have symptoms of urogenital infection (AdjOR=2.3, 95%CI1.5-3.4) or to be diagnosed with at least one urogenital infection (BV or UTI) (AdjOR=2.8, 95%CI1.7-4.5), than women using disposable pads. Increased wealth and space for personal hygiene in the household were protective for BV (AdjOR=0.5, 95%CI0.3-0.9 and AdjOR=0.6, 95%CI0.3-0.9 respectively). Lower education of the participants was the only factor associated with UTI after adjusting for all the confounders (AdjOR=3.1, 95%CI1.2-7.9). Interventions that ensure women have access to private facilities with water for MHM and that educate women about safer, low-cost MHM materials could reduce urogenital disease among women. Further studies of the effects of specific practices for managing hygienically reusable pads and studies to explore other pathogenic reproductive tract infections are needed.", "author" : [ { "dropping-particle" : "", "family" : "Das", "given" : "Padma", "non-dropping-particle" : "", "parse-names" : false, "suffix" : "" }, { "dropping-particle" : "", "family" : "Baker", "given" : "Kelly K", "non-dropping-particle" : "", "parse-names" : false, "suffix" : "" }, { "dropping-particle" : "", "family" : "Dutta", "given" : "Ambarish", "non-dropping-particle" : "", "parse-names" : false, "suffix" : "" }, { "dropping-particle" : "", "family" : "Swain", "given" : "Tapoja", "non-dropping-particle" : "", "parse-names" : false, "suffix" : "" }, { "dropping-particle" : "", "family" : "Sahoo", "given" : "Sunita", "non-dropping-particle" : "", "parse-names" : false, "suffix" : "" }, { "dropping-particle" : "", "family" : "Das", "given" : "Bhabani Sankar", "non-dropping-particle" : "", "parse-names" : false, "suffix" : "" }, { "dropping-particle" : "", "family" : "Panda", "given" : "Bijay", "non-dropping-particle" : "", "parse-names" : false, "suffix" : "" }, { "dropping-particle" : "", "family" : "Nayak", "given" : "Arati", "non-dropping-particle" : "", "parse-names" : false, "suffix" : "" }, { "dropping-particle" : "", "family" : "Bara", "given" : "Mary", "non-dropping-particle" : "", "parse-names" : false, "suffix" : "" }, { "dropping-particle" : "", "family" : "Bilung", "given" : "Bibiana", "non-dropping-particle" : "", "parse-names" : false, "suffix" : "" }, { "dropping-particle" : "", "family" : "Mishra", "given" : "Pravas Ranjan", "non-dropping-particle" : "", "parse-names" : false, "suffix" : "" }, { "dropping-particle" : "", "family" : "Panigrahi", "given" : "Pinaki", "non-dropping-particle" : "", "parse-names" : false, "suffix" : "" }, { "dropping-particle" : "", "family" : "Cairncross", "given" : "Sandy", "non-dropping-particle" : "", "parse-names" : false, "suffix" : "" }, { "dropping-particle" : "", "family" : "Torondel", "given" : "Belen", "non-dropping-particle" : "", "parse-names" : false, "suffix" : "" } ], "container-title" : "PloS one", "id" : "ITEM-2", "issue" : "6", "issued" : { "date-parts" : [ [ "2015", "1" ] ] }, "page" : "e0130777", "publisher" : "Public Library of Science", "title" : "Menstrual Hygiene Practices, WASH Access and the Risk of Urogenital Infection in Women from Odisha, India.", "type" : "article-journal", "volume" : "10" }, "uris" : [ "http://www.mendeley.com/documents/?uuid=b884823b-950f-49a0-a895-1e831727a7aa" ] }, { "id" : "ITEM-3", "itemData" : { "author" : [ { "dropping-particle" : "", "family" : "Juyal", "given" : "R", "non-dropping-particle" : "", "parse-names" : false, "suffix" : "" }, { "dropping-particle" : "", "family" : "Kandpal", "given" : "S.D", "non-dropping-particle" : "", "parse-names" : false, "suffix" : "" }, { "dropping-particle" : "", "family" : "Semwal", "given" : "J", "non-dropping-particle" : "", "parse-names" : false, "suffix" : "" } ], "container-title" : "Bangladesh Journal of Medical Science", "id" : "ITEM-3", "issue" : "02", "issued" : { "date-parts" : [ [ "2014" ] ] }, "page" : "8-12", "title" : "Menstrual Hygiene and Reproductive Morbidity in Adolescent Girls in Dehradun, India", "type" : "article-journal", "volume" : "13" }, "uris" : [ "http://www.mendeley.com/documents/?uuid=7353188a-e313-4737-a76e-cf180065c6f6", "http://www.mendeley.com/documents/?uuid=58a5a169-f9fc-4c76-a257-066184ca2d47" ] }, { "id" : "ITEM-4", "itemData" : { "DOI" : "10.1177/097206340400700103", "ISBN" : "0972063404", "ISSN" : "0972-0634", "author" : [ { "dropping-particle" : "", "family" : "Khanna", "given" : "a.", "non-dropping-particle" : "", "parse-names" : false, "suffix" : "" } ], "container-title" : "Journal of Health Management", "id" : "ITEM-4", "issue" : "1", "issued" : { "date-parts" : [ [ "2005", "4", "1" ] ] }, "page" : "91-107", "title" : "Menstrual Practices and Reproductive Problems: A Study of Adolescent Girls in Rajasthan", "type" : "article-journal", "volume" : "7" }, "uris" : [ "http://www.mendeley.com/documents/?uuid=ef8dfb29-a203-4f93-a571-89ba2e3f3800", "http://www.mendeley.com/documents/?uuid=1454c743-df62-42ca-84e9-95462a374d4d" ] } ], "mendeley" : { "formattedCitation" : "(Anand, Singh, &amp; Unisa, 2015; Das et al., 2015; R Juyal, Kandpal, &amp; Semwal, 2014; Khanna, 2005)", "plainTextFormattedCitation" : "(Anand, Singh, &amp; Unisa, 2015; Das et al., 2015; R Juyal, Kandpal, &amp; Semwal, 2014; Khanna, 2005)", "previouslyFormattedCitation" : "(Anand et al., 2015a; Das et al., 2015; R Juyal et al., 2014; Khanna, 2005)" }, "properties" : { "noteIndex" : 0 }, "schema" : "https://github.com/citation-style-language/schema/raw/master/csl-citation.json" }</w:instrText>
      </w:r>
      <w:r w:rsidRPr="00D42E39">
        <w:rPr>
          <w:rFonts w:asciiTheme="minorBidi" w:hAnsiTheme="minorBidi" w:cs="Times New Roman"/>
        </w:rPr>
        <w:fldChar w:fldCharType="separate"/>
      </w:r>
      <w:r w:rsidR="00C313A9" w:rsidRPr="00D42E39">
        <w:rPr>
          <w:rFonts w:asciiTheme="minorBidi" w:hAnsiTheme="minorBidi" w:cs="Times New Roman"/>
          <w:noProof/>
        </w:rPr>
        <w:t>(Anand, Singh, &amp; Unisa, 2015</w:t>
      </w:r>
      <w:r w:rsidR="00296A26">
        <w:rPr>
          <w:rFonts w:asciiTheme="minorBidi" w:hAnsiTheme="minorBidi" w:cs="Times New Roman"/>
          <w:noProof/>
        </w:rPr>
        <w:t>b</w:t>
      </w:r>
      <w:r w:rsidR="00C313A9" w:rsidRPr="00D42E39">
        <w:rPr>
          <w:rFonts w:asciiTheme="minorBidi" w:hAnsiTheme="minorBidi" w:cs="Times New Roman"/>
          <w:noProof/>
        </w:rPr>
        <w:t>; Das et al., 2015; Juyal, Kandpal, &amp; Semwal, 2014; Khanna, 2005)</w:t>
      </w:r>
      <w:r w:rsidRPr="00D42E39">
        <w:rPr>
          <w:rFonts w:asciiTheme="minorBidi" w:hAnsiTheme="minorBidi" w:cs="Times New Roman"/>
        </w:rPr>
        <w:fldChar w:fldCharType="end"/>
      </w:r>
      <w:r w:rsidRPr="00D42E39">
        <w:rPr>
          <w:rFonts w:asciiTheme="minorBidi" w:hAnsiTheme="minorBidi" w:cs="Times New Roman"/>
        </w:rPr>
        <w:t>. Among those who used clothes, around 66</w:t>
      </w:r>
      <w:r w:rsidR="00891C25">
        <w:rPr>
          <w:rFonts w:asciiTheme="minorBidi" w:hAnsiTheme="minorBidi" w:cs="Times New Roman"/>
        </w:rPr>
        <w:t xml:space="preserve"> per cent</w:t>
      </w:r>
      <w:r w:rsidRPr="00D42E39">
        <w:rPr>
          <w:rFonts w:asciiTheme="minorBidi" w:hAnsiTheme="minorBidi" w:cs="Times New Roman"/>
        </w:rPr>
        <w:t xml:space="preserve"> suffered from genital infections as compared to only 12</w:t>
      </w:r>
      <w:r w:rsidR="00891C25">
        <w:rPr>
          <w:rFonts w:asciiTheme="minorBidi" w:hAnsiTheme="minorBidi" w:cs="Times New Roman"/>
        </w:rPr>
        <w:t xml:space="preserve"> per cent</w:t>
      </w:r>
      <w:r w:rsidRPr="00D42E39">
        <w:rPr>
          <w:rFonts w:asciiTheme="minorBidi" w:hAnsiTheme="minorBidi" w:cs="Times New Roman"/>
        </w:rPr>
        <w:t xml:space="preserve"> among those who used sanitary napkins </w:t>
      </w:r>
      <w:r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"DOI" : "10.1371/journal.pone.0130777", "ISSN" : "1932-6203", "PMID" : "26125184", "abstract" : "Menstrual hygiene management (MHM) practices vary worldwide and depend on the individual's socioeconomic status, personal preferences, local traditions and beliefs, and access to water and sanitation resources. MHM practices can be particularly unhygienic and inconvenient for girls and women in poorer settings. Little is known about whether unhygienic MHM practices increase a woman's exposure to urogenital infections, such as bacterial vaginosis (BV) and urinary tract infection (UTI). This study aimed to determine the association of MHM practices with urogenital infections, controlling for environmental drivers. A hospital-based case-control study was conducted on 486 women at Odisha, India. Cases and controls were recruited using a syndromic approach. Vaginal swabs were collected from all the participants and tested for BV status using Amsel's criteria. Urine samples were cultured to assess UTI status. Socioeconomic status, clinical symptoms and reproductive history, and MHM and water and sanitation practices were obtained by standardised questionnaire. A total of 486 women were recruited to the study, 228 symptomatic cases and 258 asymptomatic controls. Women who used reusable absorbent pads were more likely to have symptoms of urogenital infection (AdjOR=2.3, 95%CI1.5-3.4) or to be diagnosed with at least one urogenital infection (BV or UTI) (AdjOR=2.8, 95%CI1.7-4.5), than women using disposable pads. Increased wealth and space for personal hygiene in the household were protective for BV (AdjOR=0.5, 95%CI0.3-0.9 and AdjOR=0.6, 95%CI0.3-0.9 respectively). Lower education of the participants was the only factor associated with UTI after adjusting for all the confounders (AdjOR=3.1, 95%CI1.2-7.9). Interventions that ensure women have access to private facilities with water for MHM and that educate women about safer, low-cost MHM materials could reduce urogenital disease among women. Further studies of the effects of specific practices for managing hygienically reusable pads and studies to explore other pathogenic reproductive tract infections are needed.", "author" : [ { "dropping-particle" : "", "family" : "Das", "given" : "Padma", "non-dropping-particle" : "", "parse-names" : false, "suffix" : "" }, { "dropping-particle" : "", "family" : "Baker", "given" : "Kelly K", "non-dropping-particle" : "", "parse-names" : false, "suffix" : "" }, { "dropping-particle" : "", "family" : "Dutta", "given" : "Ambarish", "non-dropping-particle" : "", "parse-names" : false, "suffix" : "" }, { "dropping-particle" : "", "family" : "Swain", "given" : "Tapoja", "non-dropping-particle" : "", "parse-names" : false, "suffix" : "" }, { "dropping-particle" : "", "family" : "Sahoo", "given" : "Sunita", "non-dropping-particle" : "", "parse-names" : false, "suffix" : "" }, { "dropping-particle" : "", "family" : "Das", "given" : "Bhabani Sankar", "non-dropping-particle" : "", "parse-names" : false, "suffix" : "" }, { "dropping-particle" : "", "family" : "Panda", "given" : "Bijay", "non-dropping-particle" : "", "parse-names" : false, "suffix" : "" }, { "dropping-particle" : "", "family" : "Nayak", "given" : "Arati", "non-dropping-particle" : "", "parse-names" : false, "suffix" : "" }, { "dropping-particle" : "", "family" : "Bara", "given" : "Mary", "non-dropping-particle" : "", "parse-names" : false, "suffix" : "" }, { "dropping-particle" : "", "family" : "Bilung", "given" : "Bibiana", "non-dropping-particle" : "", "parse-names" : false, "suffix" : "" }, { "dropping-particle" : "", "family" : "Mishra", "given" : "Pravas Ranjan", "non-dropping-particle" : "", "parse-names" : false, "suffix" : "" }, { "dropping-particle" : "", "family" : "Panigrahi", "given" : "Pinaki", "non-dropping-particle" : "", "parse-names" : false, "suffix" : "" }, { "dropping-particle" : "", "family" : "Cairncross", "given" : "Sandy", "non-dropping-particle" : "", "parse-names" : false, "suffix" : "" }, { "dropping-particle" : "", "family" : "Torondel", "given" : "Belen", "non-dropping-particle" : "", "parse-names" : false, "suffix" : "" } ], "container-title" : "PloS one", "id" : "ITEM-1", "issue" : "6", "issued" : { "date-parts" : [ [ "2015", "1" ] ] }, "page" : "e0130777", "publisher" : "Public Library of Science", "title" : "Menstrual Hygiene Practices, WASH Access and the Risk of Urogenital Infection in Women from Odisha, India.", "type" : "article-journal", "volume" : "10" }, "uris" : [ "http://www.mendeley.com/documents/?uuid=b884823b-950f-49a0-a895-1e831727a7aa" ] } ], "mendeley" : { "formattedCitation" : "(Das et al., 2015)", "plainTextFormattedCitation" : "(Das et al., 2015)", "previouslyFormattedCitation" : "(Das et al., 2015)" }, "properties" : { "noteIndex" : 0 }, "schema" : "https://github.com/citation-style-language/schema/raw/master/csl-citation.json" }</w:instrText>
      </w:r>
      <w:r w:rsidRPr="00D42E39">
        <w:rPr>
          <w:rFonts w:asciiTheme="minorBidi" w:hAnsiTheme="minorBidi" w:cs="Times New Roman"/>
        </w:rPr>
        <w:fldChar w:fldCharType="separate"/>
      </w:r>
      <w:r w:rsidRPr="00D42E39">
        <w:rPr>
          <w:rFonts w:asciiTheme="minorBidi" w:hAnsiTheme="minorBidi" w:cs="Times New Roman"/>
          <w:noProof/>
        </w:rPr>
        <w:t>(Das et al., 2015)</w:t>
      </w:r>
      <w:r w:rsidRPr="00D42E39">
        <w:rPr>
          <w:rFonts w:asciiTheme="minorBidi" w:hAnsiTheme="minorBidi" w:cs="Times New Roman"/>
        </w:rPr>
        <w:fldChar w:fldCharType="end"/>
      </w:r>
      <w:r w:rsidRPr="00D42E39">
        <w:rPr>
          <w:rFonts w:asciiTheme="minorBidi" w:hAnsiTheme="minorBidi" w:cs="Times New Roman"/>
        </w:rPr>
        <w:t xml:space="preserve">. Some of the studies have also </w:t>
      </w:r>
      <w:r w:rsidR="00FB15E3" w:rsidRPr="00D42E39">
        <w:rPr>
          <w:rFonts w:asciiTheme="minorBidi" w:hAnsiTheme="minorBidi" w:cs="Times New Roman"/>
        </w:rPr>
        <w:t xml:space="preserve">indicated </w:t>
      </w:r>
      <w:r w:rsidRPr="00D42E39">
        <w:rPr>
          <w:rFonts w:asciiTheme="minorBidi" w:hAnsiTheme="minorBidi" w:cs="Times New Roman"/>
        </w:rPr>
        <w:t>that the menstrual problems were the leading gynaecological complaint</w:t>
      </w:r>
      <w:r w:rsidR="005D60A6" w:rsidRPr="00D42E39">
        <w:rPr>
          <w:rFonts w:asciiTheme="minorBidi" w:hAnsiTheme="minorBidi" w:cs="Times New Roman"/>
        </w:rPr>
        <w:t>s</w:t>
      </w:r>
      <w:r w:rsidRPr="00D42E39">
        <w:rPr>
          <w:rFonts w:asciiTheme="minorBidi" w:hAnsiTheme="minorBidi" w:cs="Times New Roman"/>
        </w:rPr>
        <w:t xml:space="preserve"> among the </w:t>
      </w:r>
      <w:r w:rsidRPr="00293394">
        <w:rPr>
          <w:rFonts w:asciiTheme="minorBidi" w:hAnsiTheme="minorBidi" w:cs="Times New Roman"/>
        </w:rPr>
        <w:t>women (</w:t>
      </w:r>
      <w:r w:rsidR="00293394" w:rsidRPr="00293394">
        <w:rPr>
          <w:rFonts w:asciiTheme="minorBidi" w:hAnsiTheme="minorBidi" w:cs="Times New Roman"/>
        </w:rPr>
        <w:t>Kumar et.al, 1995</w:t>
      </w:r>
      <w:r w:rsidRPr="00293394">
        <w:rPr>
          <w:rFonts w:asciiTheme="minorBidi" w:hAnsiTheme="minorBidi" w:cs="Times New Roman"/>
        </w:rPr>
        <w:t>; Bhatia et.al, 1997; Bhatia &amp; Cleland, 1995).</w:t>
      </w:r>
      <w:r w:rsidR="001E75D8" w:rsidRPr="00293394">
        <w:rPr>
          <w:rFonts w:asciiTheme="minorBidi" w:hAnsiTheme="minorBidi" w:cs="Times New Roman"/>
        </w:rPr>
        <w:t xml:space="preserve"> </w:t>
      </w:r>
      <w:r w:rsidR="00FB15E3" w:rsidRPr="00293394">
        <w:rPr>
          <w:rFonts w:asciiTheme="minorBidi" w:hAnsiTheme="minorBidi" w:cs="Times New Roman"/>
        </w:rPr>
        <w:t>Moreover</w:t>
      </w:r>
      <w:r w:rsidR="00FB15E3" w:rsidRPr="00D42E39">
        <w:rPr>
          <w:rFonts w:asciiTheme="minorBidi" w:hAnsiTheme="minorBidi" w:cs="Times New Roman"/>
        </w:rPr>
        <w:t>, d</w:t>
      </w:r>
      <w:r w:rsidR="001E75D8" w:rsidRPr="00D42E39">
        <w:rPr>
          <w:rFonts w:asciiTheme="minorBidi" w:hAnsiTheme="minorBidi" w:cs="Times New Roman"/>
          <w:noProof/>
        </w:rPr>
        <w:t>ysmenorrhoea, oligomenorrhea</w:t>
      </w:r>
      <w:r w:rsidR="00FB15E3" w:rsidRPr="00D42E39">
        <w:rPr>
          <w:rFonts w:asciiTheme="minorBidi" w:hAnsiTheme="minorBidi" w:cs="Times New Roman"/>
          <w:noProof/>
        </w:rPr>
        <w:t xml:space="preserve">, menorrhagia and </w:t>
      </w:r>
      <w:r w:rsidR="00891C25">
        <w:rPr>
          <w:rFonts w:asciiTheme="minorBidi" w:hAnsiTheme="minorBidi" w:cs="Times New Roman"/>
          <w:noProof/>
        </w:rPr>
        <w:t>p</w:t>
      </w:r>
      <w:r w:rsidR="001E75D8" w:rsidRPr="00D42E39">
        <w:rPr>
          <w:rFonts w:asciiTheme="minorBidi" w:hAnsiTheme="minorBidi" w:cs="Times New Roman"/>
          <w:noProof/>
        </w:rPr>
        <w:t xml:space="preserve">olymenorrhea </w:t>
      </w:r>
      <w:r w:rsidR="00C74367" w:rsidRPr="00D42E39">
        <w:rPr>
          <w:rFonts w:asciiTheme="minorBidi" w:hAnsiTheme="minorBidi" w:cs="Times New Roman"/>
          <w:noProof/>
        </w:rPr>
        <w:t>are</w:t>
      </w:r>
      <w:r w:rsidR="001E75D8" w:rsidRPr="00D42E39">
        <w:rPr>
          <w:rFonts w:asciiTheme="minorBidi" w:hAnsiTheme="minorBidi" w:cs="Times New Roman"/>
          <w:noProof/>
        </w:rPr>
        <w:t xml:space="preserve"> </w:t>
      </w:r>
      <w:r w:rsidR="00184424">
        <w:rPr>
          <w:rFonts w:asciiTheme="minorBidi" w:hAnsiTheme="minorBidi" w:cs="Times New Roman"/>
          <w:noProof/>
        </w:rPr>
        <w:t>highly</w:t>
      </w:r>
      <w:r w:rsidR="001E75D8" w:rsidRPr="00D42E39">
        <w:rPr>
          <w:rFonts w:asciiTheme="minorBidi" w:hAnsiTheme="minorBidi" w:cs="Times New Roman"/>
          <w:noProof/>
        </w:rPr>
        <w:t xml:space="preserve"> </w:t>
      </w:r>
      <w:r w:rsidR="00FB15E3" w:rsidRPr="00D42E39">
        <w:rPr>
          <w:rFonts w:asciiTheme="minorBidi" w:hAnsiTheme="minorBidi" w:cs="Times New Roman"/>
          <w:noProof/>
        </w:rPr>
        <w:t xml:space="preserve">reported by </w:t>
      </w:r>
      <w:r w:rsidR="001E75D8" w:rsidRPr="00D42E39">
        <w:rPr>
          <w:rFonts w:asciiTheme="minorBidi" w:hAnsiTheme="minorBidi" w:cs="Times New Roman"/>
          <w:noProof/>
        </w:rPr>
        <w:t xml:space="preserve">the adolescent </w:t>
      </w:r>
      <w:r w:rsidR="00D34962" w:rsidRPr="00D42E39">
        <w:rPr>
          <w:rFonts w:asciiTheme="minorBidi" w:hAnsiTheme="minorBidi" w:cs="Times New Roman"/>
          <w:noProof/>
        </w:rPr>
        <w:t xml:space="preserve">and young girls in India </w:t>
      </w:r>
      <w:r w:rsidR="00D34962" w:rsidRPr="00D42E39">
        <w:rPr>
          <w:rFonts w:asciiTheme="minorBidi" w:hAnsiTheme="minorBidi" w:cs="Times New Roman"/>
          <w:noProof/>
        </w:rPr>
        <w:fldChar w:fldCharType="begin" w:fldLock="1"/>
      </w:r>
      <w:r w:rsidR="00C313A9" w:rsidRPr="00D42E39">
        <w:rPr>
          <w:rFonts w:asciiTheme="minorBidi" w:hAnsiTheme="minorBidi" w:cs="Times New Roman"/>
          <w:noProof/>
        </w:rPr>
        <w:instrText>ADDIN CSL_CITATION { "citationItems" : [ { "id" : "ITEM-1", "itemData" : { "ISSN" : "2248-9509", "abstract" : "Background: Menstruation is an important milestone that results in development of sexual and reproductive capacity of girls. Adolescent girls do not have adequate knowledge about the abnormalities and healthy practices to be followed during menstruation.\u00a0Objective:To find out the knowledge, attitude, practices regarding menstruation and treatment seeking behaviour for menstrual problems in adolescent females.Material &amp;amp; methods: The present cross sectional study was carried out in an urban field practice area of Department of Community Medicine, LLRM Medical College, Meerut on adolescent girls. A sample of 384 was derived and girls were selected by systematic random sampling technique. Detailed information was collected on a predesigned and pretested questionnaire.\u00a0Results:38.5% girls were aware of menstruation prior to its onset out of which 66.9% learned from their mother. Only 14.6% of the menstruating girls were aware of at least one menstrual disorder. Dysmenorrhoea was found to be the most frequently occurring problem (58.4%), followed by oligomenorrhoea (16.2%), menorrhagia (13.9%), premenstrual tension (13.6%), infrequent menstruation (12.3%) and polymenorrhoea (12.2%). Out of the 226(72.7%) girls having menstrual problems 77.9% did not seek any treatment for their problems. 55.2% of the menstruating girls were using sanitary pads during menstruation.\u00a0Conclusion: The adolescent girls are not well prepared and do not have adequate information regarding menstruation which is an important event of life.", "author" : [ { "dropping-particle" : "", "family" : "Katiyar", "given" : "Kalpana", "non-dropping-particle" : "", "parse-names" : false, "suffix" : "" }, { "dropping-particle" : "", "family" : "Chopra", "given" : "Harivansh", "non-dropping-particle" : "", "parse-names" : false, "suffix" : "" }, { "dropping-particle" : "", "family" : "Garg", "given" : "Sunil Kumar", "non-dropping-particle" : "", "parse-names" : false, "suffix" : "" }, { "dropping-particle" : "", "family" : "Bajpai", "given" : "SK", "non-dropping-particle" : "", "parse-names" : false, "suffix" : "" }, { "dropping-particle" : "", "family" : "Bano", "given" : "Tanveer", "non-dropping-particle" : "", "parse-names" : false, "suffix" : "" }, { "dropping-particle" : "", "family" : "Jain", "given" : "Seema", "non-dropping-particle" : "", "parse-names" : false, "suffix" : "" }, { "dropping-particle" : "", "family" : "Kumar", "given" : "Arun", "non-dropping-particle" : "", "parse-names" : false, "suffix" : "" } ], "container-title" : "Indian Journal of Community Health", "id" : "ITEM-1", "issue" : "3", "issued" : { "date-parts" : [ [ "2013", "12", "2" ] ] }, "language" : "en", "page" : "217 - 220", "title" : "KAP STUDY OF MENSTRUAL PROBLEMS IN ADOLESCENT FEMALES IN AN URBAN AREA OF MEERUT", "type" : "article", "volume" : "25" }, "uris" : [ "http://www.mendeley.com/documents/?uuid=9e6122c2-2de1-4bf9-9680-2bca65f8b709" ] }, { "id" : "ITEM-2", "itemData" : { "DOI" : "10.3329/bjms.v13i2.14257", "ISBN" : "2223-4721", "ISSN" : "20760299", "PMID" : "2014202191", "abstract" : "Context:  In India, adolescent girls face serious health problem due to socio-economic, environmental and cultural conditions as well as gender discrimination. A vast majority of girls in India are suffering from either general or reproductive morbidities. Unhygienic practices during menstruation expose them for Reproductive Tract Infections (RTI). If not treated early, it could lead to various disabilities and consequently affect their valuable lives. This study was done with the aim of estimating the magnitude of gynaecological morbidities among unmarried adolescent girls as well as to find out the relation between menstrual hygiene and RTI.  Settings and Design:  Cross-Sectional Observational study conducted in two randomly selected Inter colleges (one rural and one urban) of district Dehradun, Uttarakhand state.    Methods and Material:  A cross-sectional study was undertaken in school going unmarried adolescent girls to know their menstrual hygiene practices as well as reproductive morbidity. Data was collected by interview method using a pretested, prestructured questionnaire after taking consent.  Statistical analysis used:  percentages and Chi-square test.    Results:  Approximately 65 % of the girls reported having dysmenorrhoea and 19 % of the girls had given the history of excessive vaginal discharge with or without low backache/lower abdominal pain. Strong association was found between Reproductive Tract Infections and poor menstrual hygiene.    Conclusions:  Girls should be made aware of the process of menstruation and importance of maintaining its hygiene before attaining menarche. They should also be made aware about its linkages with their forthcoming reproductive health.   DOI:  http://dx.doi.org/10.3329/bjms.v13i2.14257    Bangladesh Journal of Medical Science Vol.13(2) 2014 p.170-174", "author" : [ { "dropping-particle" : "", "family" : "Juyal", "given" : "Ruchi", "non-dropping-particle" : "", "parse-names" : false, "suffix" : "" }, { "dropping-particle" : "", "family" : "Kandpal", "given" : "S. D.", "non-dropping-particle" : "", "parse-names" : false, "suffix" : "" }, { "dropping-particle" : "", "family" : "Semwal", "given" : "Jayanti", "non-dropping-particle" : "", "parse-names" : false, "suffix" : "" } ], "container-title" : "Bangladesh Journal of Medical Science", "id" : "ITEM-2", "issue" : "2", "issued" : { "date-parts" : [ [ "2014" ] ] }, "page" : "170-174", "title" : "Menstrual hygiene and reproductive morbidity in adolescent girls in Dehradun, India", "type" : "article-journal", "volume" : "13" }, "uris" : [ "http://www.mendeley.com/documents/?uuid=33ee3927-d725-4caf-88e8-3b5ba5abc19a", "http://www.mendeley.com/documents/?uuid=fdcb8144-7a10-4244-a053-0709769e163e" ] }, { "id" : "ITEM-3", "itemData" : { "DOI" : "10.5539/gjhs.v4n1p105", "ISBN" : "1916-9736 (Print)\\r1916-9736 (Linking)", "ISSN" : "1916-9736", "PMID" : "22980118", "abstract" : "Background: The onset of menstruation is part of the maturation process. However, variability in menstrual cycle characteristics and menstrual disorders are common. The purpose of this study was to determine the age at menarche and patterns of menstruation among school adolescent girls and explore its variation across socio-economic and demographic factors. Methodology: This is a cross-sectional descriptive study carried out on 1100 school adolescent girls in district Wardha, Central India. Data were collected using a self-administered structured questionnaire on menstruation. Data was entered and analyzed by using Epi Info 6.04 software package. Chi- square value was used for testing statistical significance. Results: Mean ages of menarche were 13.51 + 1.04 years and 13.67 + 0.8 years for urban and rural areas respectively. Abnormal cycle length was common and affected 30.48%. The majority 56.15 experienced dysmenorrhoea and 56.16 percent had premenstrual syndrome. Self medication was practiced by 7.13% of the adolescent girls. The most common premenstrual symptom was headache 26.74%. Absenteeism from the school 13.9% was the effect of menstruation related problems on their daily routine. Dysmenorrhea and premenstrual symptoms were perceived as most distressing symptoms leading to school absenteeism. Majority of the girls 75.58% had discussed menstrual problems with someone, most commonly with their mothers 38.15%. There was a general lack of information about menstrual issues especially with regards to cycle length, duration of menses and age at menarche. Girls from families of high socio-economic class have significantly lower mean menarcheal age in both urban and rural area. The mean age of menarche was significantly higher in girls involved in vigorous sporting activity in urban area compared to their non-sporting counterparts. Conclusion: Age at menarche was delayed. The menstrual disorders among female adolescents are common. A school health education on menstrual problems targeting adolescent girls and their parents and routine screening for menstrual problems by healthcare providers can help to prevent the absenteeism in the school.", "author" : [ { "dropping-particle" : "", "family" : "Dambhare", "given" : "Dharampal G.", "non-dropping-particle" : "", "parse-names" : false, "suffix" : "" }, { "dropping-particle" : "V.", "family" : "Wagh", "given" : "Sanjay", "non-dropping-particle" : "", "parse-names" : false, "suffix" : "" }, { "dropping-particle" : "", "family" : "Dudhe", "given" : "Jayesh Y.", "non-dropping-particle" : "", "parse-names" : false, "suffix" : "" } ], "container-title" : "Global Journal of Health Science", "id" : "ITEM-3", "issue" : "1", "issued" : { "date-parts" : [ [ "2012" ] ] }, "page" : "105-111", "title" : "Age at Menarche and Menstrual Cycle Pattern among School Adolescent Girls in Central India", "type" : "article-journal", "volume" : "4" }, "uris" : [ "http://www.mendeley.com/documents/?uuid=6e072b32-989c-4a20-9efc-5ff39e268d62", "http://www.mendeley.com/documents/?uuid=264e4377-0860-4555-8b64-2e33a923addd" ] }, { "id" : "ITEM-4", "itemData" : { "abstract" : "Abstract: Background: Menstruation, an important part of female reproductive cycle but menstrual dysfunction in adolescent girls may affect normal life of adolescent and young adult women. Objectives: To study the frequency of common menstrual problems and to determine the association between patterns of menstrual cycles with common menstrual problems, nutritional and economic status of rural college girls. Methodology: Cross Sectional study was conducted among college girls of rural area of Satara district, western Maharashtra, India during month of Jan- February 2011.107, age between 17-20 years from educational course of first year B.A. &amp; B.COM. Data was collected by personal interview method and clinical examination of respondents with the help of pretested structured proforma, Weighing machine, Height measuring scale, Haemoglobin assessment strips. Results: Out of 107 girls,79 girls (73.8%) had regular menstrual cycles whereas 28 (26.1%) had irregular menstruation cycles with mean age at menarche 14.1 yrs. 40(37.3%) girls had normal (average) menstrual bleeding whereas scanty and heavy bleeding was seen in 61(57%) and 6(5.6%) girls. Duration of menstrual bleeding for 1-2 days was seen in 75(70%) girls whereas &gt;5 days in 7(6.5%) girls. Dysmenorrhoea observed in 24(22.4%) girls, Anemia seen in 62(57.9%) girls, Under nutrition in 52(48.5%) girls, Obesity in 7(6.5%) while 42(39.2%) girls belonged to lower socioeconomic class. Significant statistical association existed between type of menstrual cycle and anemia, nutritional status, amount of bleeding and dysmenorrhoea. Conclusion: Menstrual health is fundamental to women\u2019s sexual and reproductive health. The present study has established mean age at menarche 14.1year. Poor nutritional status, anemia, low socioeconomic status often associated with menstrual problems, menstrual cycle regularity and mean age at menarche. Keywords: Menstrual problems, BMI, Anaemia", "author" : [ { "dropping-particle" : "V", "family" : "Mohite", "given" : "Rajsinh", "non-dropping-particle" : "", "parse-names" : false, "suffix" : "" }, { "dropping-particle" : "", "family" : "Mohite", "given" : "Vaishali R", "non-dropping-particle" : "", "parse-names" : false, "suffix" : "" } ], "container-title" : "Al Ameen Journal of Medical Sciences", "id" : "ITEM-4", "issue" : "3", "issued" : { "date-parts" : [ [ "2013" ] ] }, "page" : "213-218", "title" : "Correlates of the menstrual problems among rural college students of Satara district", "type" : "article-journal", "volume" : "6" }, "uris" : [ "http://www.mendeley.com/documents/?uuid=6bebf77b-77f9-446a-8df3-e4ffd9416f92", "http://www.mendeley.com/documents/?uuid=214614d3-00e5-46cd-9a8a-67886dcbfb4a" ] }, { "id" : "ITEM-5", "itemData" : { "author" : [ { "dropping-particle" : "", "family" : "Mudey", "given" : "Abhay Bhausaheb", "non-dropping-particle" : "", "parse-names" : false, "suffix" : "" }, { "dropping-particle" : "", "family" : "Kesharwani", "given" : "Naveeta", "non-dropping-particle" : "", "parse-names" : false, "suffix" : "" }, { "dropping-particle" : "", "family" : "Mudey", "given" : "Gargi Abhay", "non-dropping-particle" : "", "parse-names" : false, "suffix" : "" }, { "dropping-particle" : "", "family" : "Goyal", "given" : "Ramchandra C.", "non-dropping-particle" : "", "parse-names" : false, "suffix" : "" } ], "container-title" : "Global Journal of Health Science", "id" : "ITEM-5", "issue" : "2", "issued" : { "date-parts" : [ [ "2010" ] ] }, "page" : "225-231", "title" : "A Cross-sectional Study on Awareness Regarding Safe and Hygienic Practices amongst School Going Adolescent Girls in Rural Area of Wardha District, India", "type" : "article-journal", "volume" : "2" }, "uris" : [ "http://www.mendeley.com/documents/?uuid=b1e3c5f8-6695-4a8f-9a14-1a8757a2757d" ] } ], "mendeley" : { "formattedCitation" : "(Dambhare, Wagh, &amp; Dudhe, 2012; Ruchi Juyal, Kandpal, &amp; Semwal, 2014; Katiyar et al., 2013; Mohite &amp; Mohite, 2013; Mudey et al., 2010)", "plainTextFormattedCitation" : "(Dambhare, Wagh, &amp; Dudhe, 2012; Ruchi Juyal, Kandpal, &amp; Semwal, 2014; Katiyar et al., 2013; Mohite &amp; Mohite, 2013; Mudey et al., 2010)", "previouslyFormattedCitation" : "(Dambhare et al., 2012; Ruchi Juyal et al., 2014; Katiyar et al., 2013; Mohite and Mohite, 2013; Mudey et al., 2010)" }, "properties" : { "noteIndex" : 0 }, "schema" : "https://github.com/citation-style-language/schema/raw/master/csl-citation.json" }</w:instrText>
      </w:r>
      <w:r w:rsidR="00D34962" w:rsidRPr="00D42E39">
        <w:rPr>
          <w:rFonts w:asciiTheme="minorBidi" w:hAnsiTheme="minorBidi" w:cs="Times New Roman"/>
          <w:noProof/>
        </w:rPr>
        <w:fldChar w:fldCharType="separate"/>
      </w:r>
      <w:r w:rsidR="00C313A9" w:rsidRPr="00D42E39">
        <w:rPr>
          <w:rFonts w:asciiTheme="minorBidi" w:hAnsiTheme="minorBidi" w:cs="Times New Roman"/>
          <w:noProof/>
        </w:rPr>
        <w:t>(Dambhare, Wagh, &amp; Dudhe, 2012; Juyal, Kandpal, &amp; Semwal, 2014; Katiyar et al., 2013; Mohite &amp; Mohite, 2013; Mudey et al., 2010)</w:t>
      </w:r>
      <w:r w:rsidR="00D34962" w:rsidRPr="00D42E39">
        <w:rPr>
          <w:rFonts w:asciiTheme="minorBidi" w:hAnsiTheme="minorBidi" w:cs="Times New Roman"/>
          <w:noProof/>
        </w:rPr>
        <w:fldChar w:fldCharType="end"/>
      </w:r>
      <w:r w:rsidR="00D34962" w:rsidRPr="00D42E39">
        <w:rPr>
          <w:rFonts w:asciiTheme="minorBidi" w:hAnsiTheme="minorBidi" w:cs="Times New Roman"/>
          <w:noProof/>
        </w:rPr>
        <w:t xml:space="preserve">. </w:t>
      </w:r>
    </w:p>
    <w:p w14:paraId="2A72EA85" w14:textId="77777777" w:rsidR="00D42E39" w:rsidRDefault="00D42E39" w:rsidP="00D42E39">
      <w:pPr>
        <w:spacing w:after="0" w:line="240" w:lineRule="auto"/>
        <w:ind w:firstLine="567"/>
        <w:jc w:val="both"/>
        <w:rPr>
          <w:rFonts w:asciiTheme="minorBidi" w:hAnsiTheme="minorBidi" w:cs="Times New Roman"/>
        </w:rPr>
      </w:pPr>
    </w:p>
    <w:p w14:paraId="3F00DFFD" w14:textId="6823C3E9" w:rsidR="00891C25" w:rsidRDefault="00DE623B" w:rsidP="00D42E39">
      <w:pPr>
        <w:spacing w:after="0" w:line="240" w:lineRule="auto"/>
        <w:ind w:firstLine="567"/>
        <w:jc w:val="both"/>
        <w:rPr>
          <w:rFonts w:asciiTheme="minorBidi" w:hAnsiTheme="minorBidi" w:cs="Times New Roman"/>
        </w:rPr>
      </w:pPr>
      <w:r w:rsidRPr="00D42E39">
        <w:rPr>
          <w:rFonts w:asciiTheme="minorBidi" w:hAnsiTheme="minorBidi" w:cs="Times New Roman"/>
        </w:rPr>
        <w:t xml:space="preserve">MHM </w:t>
      </w:r>
      <w:r w:rsidR="004E304C" w:rsidRPr="00D42E39">
        <w:rPr>
          <w:rFonts w:asciiTheme="minorBidi" w:hAnsiTheme="minorBidi" w:cs="Times New Roman"/>
        </w:rPr>
        <w:t xml:space="preserve">is </w:t>
      </w:r>
      <w:r w:rsidRPr="00D42E39">
        <w:rPr>
          <w:rFonts w:asciiTheme="minorBidi" w:hAnsiTheme="minorBidi" w:cs="Times New Roman"/>
        </w:rPr>
        <w:t xml:space="preserve">one of the foremost reasons </w:t>
      </w:r>
      <w:r w:rsidR="004E304C" w:rsidRPr="00D42E39">
        <w:rPr>
          <w:rFonts w:asciiTheme="minorBidi" w:hAnsiTheme="minorBidi" w:cs="Times New Roman"/>
        </w:rPr>
        <w:t xml:space="preserve">for </w:t>
      </w:r>
      <w:r w:rsidRPr="00D42E39">
        <w:rPr>
          <w:rFonts w:asciiTheme="minorBidi" w:hAnsiTheme="minorBidi" w:cs="Times New Roman"/>
        </w:rPr>
        <w:t xml:space="preserve">school absenteeism as well as dropout among </w:t>
      </w:r>
      <w:r w:rsidR="004E304C" w:rsidRPr="00D42E39">
        <w:rPr>
          <w:rFonts w:asciiTheme="minorBidi" w:hAnsiTheme="minorBidi" w:cs="Times New Roman"/>
        </w:rPr>
        <w:t>the adolescent girls</w:t>
      </w:r>
      <w:r w:rsidR="001D544E" w:rsidRPr="00D42E39">
        <w:rPr>
          <w:rFonts w:asciiTheme="minorBidi" w:hAnsiTheme="minorBidi" w:cs="Times New Roman"/>
        </w:rPr>
        <w:t xml:space="preserve"> in low and middle-income countries</w:t>
      </w:r>
      <w:r w:rsidR="004E304C" w:rsidRPr="00D42E39">
        <w:rPr>
          <w:rFonts w:asciiTheme="minorBidi" w:hAnsiTheme="minorBidi" w:cs="Times New Roman"/>
        </w:rPr>
        <w:t xml:space="preserve">. Many girls stay away from the school during the time of menstruation </w:t>
      </w:r>
      <w:r w:rsidR="004E304C"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"DOI" : "10.5539/gjhs.v4n1p105", "ISBN" : "1916-9736 (Print)\\r1916-9736 (Linking)", "ISSN" : "1916-9736", "PMID" : "22980118", "abstract" : "Background: The onset of menstruation is part of the maturation process. However, variability in menstrual cycle characteristics and menstrual disorders are common. The purpose of this study was to determine the age at menarche and patterns of menstruation among school adolescent girls and explore its variation across socio-economic and demographic factors. Methodology: This is a cross-sectional descriptive study carried out on 1100 school adolescent girls in district Wardha, Central India. Data were collected using a self-administered structured questionnaire on menstruation. Data was entered and analyzed by using Epi Info 6.04 software package. Chi- square value was used for testing statistical significance. Results: Mean ages of menarche were 13.51 + 1.04 years and 13.67 + 0.8 years for urban and rural areas respectively. Abnormal cycle length was common and affected 30.48%. The majority 56.15 experienced dysmenorrhoea and 56.16 percent had premenstrual syndrome. Self medication was practiced by 7.13% of the adolescent girls. The most common premenstrual symptom was headache 26.74%. Absenteeism from the school 13.9% was the effect of menstruation related problems on their daily routine. Dysmenorrhea and premenstrual symptoms were perceived as most distressing symptoms leading to school absenteeism. Majority of the girls 75.58% had discussed menstrual problems with someone, most commonly with their mothers 38.15%. There was a general lack of information about menstrual issues especially with regards to cycle length, duration of menses and age at menarche. Girls from families of high socio-economic class have significantly lower mean menarcheal age in both urban and rural area. The mean age of menarche was significantly higher in girls involved in vigorous sporting activity in urban area compared to their non-sporting counterparts. Conclusion: Age at menarche was delayed. The menstrual disorders among female adolescents are common. A school health education on menstrual problems targeting adolescent girls and their parents and routine screening for menstrual problems by healthcare providers can help to prevent the absenteeism in the school.", "author" : [ { "dropping-particle" : "", "family" : "Dambhare", "given" : "Dharampal G.", "non-dropping-particle" : "", "parse-names" : false, "suffix" : "" }, { "dropping-particle" : "V.", "family" : "Wagh", "given" : "Sanjay", "non-dropping-particle" : "", "parse-names" : false, "suffix" : "" }, { "dropping-particle" : "", "family" : "Dudhe", "given" : "Jayesh Y.", "non-dropping-particle" : "", "parse-names" : false, "suffix" : "" } ], "container-title" : "Global Journal of Health Science", "id" : "ITEM-1", "issue" : "1", "issued" : { "date-parts" : [ [ "2012" ] ] }, "page" : "105-111", "title" : "Age at Menarche and Menstrual Cycle Pattern among School Adolescent Girls in Central India", "type" : "article-journal", "volume" : "4" }, "uris" : [ "http://www.mendeley.com/documents/?uuid=264e4377-0860-4555-8b64-2e33a923addd", "http://www.mendeley.com/documents/?uuid=6e072b32-989c-4a20-9efc-5ff39e268d62" ] } ], "mendeley" : { "formattedCitation" : "(Dambhare et al., 2012)", "plainTextFormattedCitation" : "(Dambhare et al., 2012)", "previouslyFormattedCitation" : "(Dambhare et al., 2012)" }, "properties" : { "noteIndex" : 0 }, "schema" : "https://github.com/citation-style-language/schema/raw/master/csl-citation.json" }</w:instrText>
      </w:r>
      <w:r w:rsidR="004E304C" w:rsidRPr="00D42E39">
        <w:rPr>
          <w:rFonts w:asciiTheme="minorBidi" w:hAnsiTheme="minorBidi" w:cs="Times New Roman"/>
        </w:rPr>
        <w:fldChar w:fldCharType="separate"/>
      </w:r>
      <w:r w:rsidR="004E304C" w:rsidRPr="00D42E39">
        <w:rPr>
          <w:rFonts w:asciiTheme="minorBidi" w:hAnsiTheme="minorBidi" w:cs="Times New Roman"/>
          <w:noProof/>
        </w:rPr>
        <w:t>(Dambhare et al., 2012)</w:t>
      </w:r>
      <w:r w:rsidR="004E304C" w:rsidRPr="00D42E39">
        <w:rPr>
          <w:rFonts w:asciiTheme="minorBidi" w:hAnsiTheme="minorBidi" w:cs="Times New Roman"/>
        </w:rPr>
        <w:fldChar w:fldCharType="end"/>
      </w:r>
      <w:r w:rsidR="00DD6D41" w:rsidRPr="00D42E39">
        <w:rPr>
          <w:rFonts w:asciiTheme="minorBidi" w:hAnsiTheme="minorBidi" w:cs="Times New Roman"/>
        </w:rPr>
        <w:t xml:space="preserve">. </w:t>
      </w:r>
      <w:r w:rsidR="004B2F02" w:rsidRPr="00D42E39">
        <w:rPr>
          <w:rFonts w:asciiTheme="minorBidi" w:hAnsiTheme="minorBidi" w:cs="Times New Roman"/>
        </w:rPr>
        <w:t>T</w:t>
      </w:r>
      <w:r w:rsidR="00DD6D41" w:rsidRPr="00D42E39">
        <w:rPr>
          <w:rFonts w:asciiTheme="minorBidi" w:hAnsiTheme="minorBidi" w:cs="Times New Roman"/>
        </w:rPr>
        <w:t>he global</w:t>
      </w:r>
      <w:r w:rsidR="004B2F02" w:rsidRPr="00D42E39">
        <w:rPr>
          <w:rFonts w:asciiTheme="minorBidi" w:hAnsiTheme="minorBidi" w:cs="Times New Roman"/>
        </w:rPr>
        <w:t xml:space="preserve"> origin of interest in MHM is in fact </w:t>
      </w:r>
      <w:r w:rsidR="00DD6D41" w:rsidRPr="00D42E39">
        <w:rPr>
          <w:rFonts w:asciiTheme="minorBidi" w:hAnsiTheme="minorBidi" w:cs="Times New Roman"/>
        </w:rPr>
        <w:t xml:space="preserve">due to the </w:t>
      </w:r>
      <w:r w:rsidR="00184424">
        <w:rPr>
          <w:rFonts w:asciiTheme="minorBidi" w:hAnsiTheme="minorBidi" w:cs="Times New Roman"/>
        </w:rPr>
        <w:t>worldwide</w:t>
      </w:r>
      <w:r w:rsidR="00DD6D41" w:rsidRPr="00D42E39">
        <w:rPr>
          <w:rFonts w:asciiTheme="minorBidi" w:hAnsiTheme="minorBidi" w:cs="Times New Roman"/>
        </w:rPr>
        <w:t xml:space="preserve"> concern for narrowing the gender gap in education, where the girls’ education was understood to be highly affected due to menstrual experiences and the unavailability of toilet facilities in  schools </w:t>
      </w:r>
      <w:r w:rsidR="004B2F02"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"DOI" : "10.2105/AJPH.2014.302525", "ISSN" : "1541-0048", "PMID" : "25973831", "abstract" : "In recent years, the menstrual hygiene management challenges facing schoolgirls in low-income-country contexts have gained global attention. We applied Gusfield's sociological analysis of the culture of public problems to better understand how this relatively newly recognized public health challenge rose to the level of global public health awareness and action. We similarly applied the conceptualization by Dorfman et al. of the role of public health messaging in changing corporate practice to explore the conceptual frames and the news frames that are being used to shape the perceptions of menstrual hygiene management as an issue of social justice within the context of public health. Important lessons were revealed for getting other public health problems onto the global-, national-, and local-level agendas.", "author" : [ { "dropping-particle" : "", "family" : "Sommer", "given" : "Marni", "non-dropping-particle" : "", "parse-names" : false, "suffix" : "" }, { "dropping-particle" : "", "family" : "Hirsch", "given" : "Jennifer S", "non-dropping-particle" : "", "parse-names" : false, "suffix" : "" }, { "dropping-particle" : "", "family" : "Nathanson", "given" : "Constance", "non-dropping-particle" : "", "parse-names" : false, "suffix" : "" }, { "dropping-particle" : "", "family" : "Parker", "given" : "Richard G", "non-dropping-particle" : "", "parse-names" : false, "suffix" : "" } ], "container-title" : "American journal of public health", "id" : "ITEM-1", "issue" : "7", "issued" : { "date-parts" : [ [ "2015", "7" ] ] }, "page" : "1302-11", "title" : "Comfortably, Safely, and Without Shame: Defining Menstrual Hygiene Management as a Public Health Issue.", "type" : "article-journal", "volume" : "105" }, "uris" : [ "http://www.mendeley.com/documents/?uuid=c9e73084-fd31-43e2-86d8-8f392dc6d709" ] } ], "mendeley" : { "formattedCitation" : "(Marni Sommer, Hirsch, Nathanson, &amp; Parker, 2015)", "plainTextFormattedCitation" : "(Marni Sommer, Hirsch, Nathanson, &amp; Parker, 2015)", "previouslyFormattedCitation" : "(Sommer et al., 2015)" }, "properties" : { "noteIndex" : 0 }, "schema" : "https://github.com/citation-style-language/schema/raw/master/csl-citation.json" }</w:instrText>
      </w:r>
      <w:r w:rsidR="004B2F02" w:rsidRPr="00D42E39">
        <w:rPr>
          <w:rFonts w:asciiTheme="minorBidi" w:hAnsiTheme="minorBidi" w:cs="Times New Roman"/>
        </w:rPr>
        <w:fldChar w:fldCharType="separate"/>
      </w:r>
      <w:r w:rsidR="00C313A9" w:rsidRPr="00D42E39">
        <w:rPr>
          <w:rFonts w:asciiTheme="minorBidi" w:hAnsiTheme="minorBidi" w:cs="Times New Roman"/>
          <w:noProof/>
        </w:rPr>
        <w:t>(Sommer, Hirsch, Nathanson, &amp; Parker, 2015)</w:t>
      </w:r>
      <w:r w:rsidR="004B2F02" w:rsidRPr="00D42E39">
        <w:rPr>
          <w:rFonts w:asciiTheme="minorBidi" w:hAnsiTheme="minorBidi" w:cs="Times New Roman"/>
        </w:rPr>
        <w:fldChar w:fldCharType="end"/>
      </w:r>
      <w:r w:rsidR="00DD6D41" w:rsidRPr="00D42E39">
        <w:rPr>
          <w:rFonts w:asciiTheme="minorBidi" w:hAnsiTheme="minorBidi" w:cs="Times New Roman"/>
        </w:rPr>
        <w:t xml:space="preserve">. </w:t>
      </w:r>
      <w:r w:rsidR="00CD25B7" w:rsidRPr="00D42E39">
        <w:rPr>
          <w:rFonts w:asciiTheme="minorBidi" w:hAnsiTheme="minorBidi" w:cs="Times New Roman"/>
        </w:rPr>
        <w:t xml:space="preserve">The MHM </w:t>
      </w:r>
      <w:r w:rsidR="004B2F02" w:rsidRPr="00D42E39">
        <w:rPr>
          <w:rFonts w:asciiTheme="minorBidi" w:hAnsiTheme="minorBidi" w:cs="Times New Roman"/>
        </w:rPr>
        <w:t>problem among girls and women</w:t>
      </w:r>
      <w:r w:rsidR="00CD25B7" w:rsidRPr="00D42E39">
        <w:rPr>
          <w:rFonts w:asciiTheme="minorBidi" w:hAnsiTheme="minorBidi" w:cs="Times New Roman"/>
        </w:rPr>
        <w:t xml:space="preserve"> in India received very little attention although it is a serious public health concern. </w:t>
      </w:r>
      <w:r w:rsidR="004B2F02" w:rsidRPr="00D42E39">
        <w:rPr>
          <w:rFonts w:asciiTheme="minorBidi" w:hAnsiTheme="minorBidi" w:cs="Times New Roman"/>
        </w:rPr>
        <w:t>A</w:t>
      </w:r>
      <w:r w:rsidR="002E66D2" w:rsidRPr="00D42E39">
        <w:rPr>
          <w:rFonts w:asciiTheme="minorBidi" w:hAnsiTheme="minorBidi" w:cs="Times New Roman"/>
        </w:rPr>
        <w:t xml:space="preserve"> growing body of research </w:t>
      </w:r>
      <w:r w:rsidR="00FB15E3" w:rsidRPr="00D42E39">
        <w:rPr>
          <w:rFonts w:asciiTheme="minorBidi" w:hAnsiTheme="minorBidi" w:cs="Times New Roman"/>
        </w:rPr>
        <w:t xml:space="preserve">on MHM </w:t>
      </w:r>
      <w:r w:rsidR="004B2F02" w:rsidRPr="00D42E39">
        <w:rPr>
          <w:rFonts w:asciiTheme="minorBidi" w:hAnsiTheme="minorBidi" w:cs="Times New Roman"/>
        </w:rPr>
        <w:t xml:space="preserve">appeared in the last decade </w:t>
      </w:r>
      <w:r w:rsidR="00FB15E3" w:rsidRPr="00D42E39">
        <w:rPr>
          <w:rFonts w:asciiTheme="minorBidi" w:hAnsiTheme="minorBidi" w:cs="Times New Roman"/>
        </w:rPr>
        <w:t xml:space="preserve">explored </w:t>
      </w:r>
      <w:r w:rsidR="002E66D2" w:rsidRPr="00D42E39">
        <w:rPr>
          <w:rFonts w:asciiTheme="minorBidi" w:hAnsiTheme="minorBidi" w:cs="Times New Roman"/>
        </w:rPr>
        <w:t xml:space="preserve">menstruation related knowledge and practices among the adolescent and young women </w:t>
      </w:r>
      <w:r w:rsidR="002E66D2"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"author" : [ { "dropping-particle" : "", "family" : "Acharya", "given" : "A", "non-dropping-particle" : "", "parse-names" : false, "suffix" : "" }, { "dropping-particle" : "", "family" : "Yadav", "given" : "K", "non-dropping-particle" : "", "parse-names" : false, "suffix" : "" }, { "dropping-particle" : "", "family" : "Baridalyne", "given" : "N", "non-dropping-particle" : "", "parse-names" : false, "suffix" : "" } ], "container-title" : "Indian journal of community medicine", "id" : "ITEM-1", "issue" : "4", "issued" : { "date-parts" : [ [ "2006" ] ] }, "page" : "29-31", "title" : "Reproductive Tract Infections / Sexually Transmitted Infections in Rural Haryana : Experiences from the Family Health Awareness Campaign", "type" : "article-journal", "volume" : "31" }, "uris" : [ "http://www.mendeley.com/documents/?uuid=9ca26b83-70b5-416d-9a7b-6450a85e5d45" ] }, { "id" : "ITEM-2", "itemData" : { "author" : [ { "dropping-particle" : "", "family" : "Singh", "given" : "Sadhana", "non-dropping-particle" : "", "parse-names" : false, "suffix" : "" }, { "dropping-particle" : "", "family" : "Kandpal", "given" : "S D", "non-dropping-particle" : "", "parse-names" : false, "suffix" : "" }, { "dropping-particle" : "", "family" : "Roy", "given" : "D", "non-dropping-particle" : "", "parse-names" : false, "suffix" : "" } ], "id" : "ITEM-2", "issue" : "2", "issued" : { "date-parts" : [ [ "2011" ] ] }, "page" : "2010-2012", "title" : "Article Menstrual Hygiene Practices and RTI among ever-married women in rural slum", "type" : "article-journal", "volume" : "22" }, "uris" : [ "http://www.mendeley.com/documents/?uuid=4d44e40c-f2e3-4200-a69e-8d4eafb1a59f", "http://www.mendeley.com/documents/?uuid=0a400b1b-281e-4622-9e0e-a418e10ce73c" ] }, { "id" : "ITEM-3", "itemData" : { "DOI" : "10.1007/s10995-011-0798-5", "ISSN" : "1573-6628", "PMID" : "21505773", "abstract" : "The onset of menstruation is one of the most important physiological changes occurring among girls during the adolescent years. Menstruation heralds the onset of physiological maturity in girls. It becomes the part and parcel of their lives until menopause. Apart from personal importance, this phenomenon also has social significance. In India, menstruation is surrounded by myths and misconceptions with a long list of \"do's\" and \"don'ts\" for women. Hygiene-related practices of women during menstruation are of considerable importance, as it may increase vulnerability to Reproductive Tract Infections (RTI's). Poor menstrual hygiene is one of the major reasons for the high prevalence of RTIs in the country and contributes significantly to female morbidity. Most of the adolescent girls in villages use rags and old clothes during menstruation, increasing susceptibility to RTI's. Adolescents constitute one-fifths of India's population and yet their sexual health needs remain largely unaddressed in the national welfare programs. Poor menstrual hygiene in developing countries has been an insufficiently acknowledged problem. In June 2010, the Government of India proposed a new scheme towards menstrual hygiene by a provision of subsidized sanitary napkins to rural adolescent girls. But there are various other issues like awareness, availability and quality of napkins, regular supply, privacy, water supply, disposal of napkins, reproductive health education and family support which needs simultaneous attention for promotion of menstrual hygiene. The current article looks at the issue of menstrual hygiene not only from the health point of view, but also considers social and human rights values attached to it.", "author" : [ { "dropping-particle" : "", "family" : "Garg", "given" : "Rajesh", "non-dropping-particle" : "", "parse-names" : false, "suffix" : "" }, { "dropping-particle" : "", "family" : "Goyal", "given" : "Shobha", "non-dropping-particle" : "", "parse-names" : false, "suffix" : "" }, { "dropping-particle" : "", "family" : "Gupta", "given" : "Sanjeev", "non-dropping-particle" : "", "parse-names" : false, "suffix" : "" } ], "container-title" : "Maternal and child health journal", "id" : "ITEM-3", "issue" : "4", "issued" : { "date-parts" : [ [ "2012", "5" ] ] }, "page" : "767-74", "title" : "India moves towards menstrual hygiene: subsidized sanitary napkins for rural adolescent girls-issues and challenges.", "type" : "article-journal", "volume" : "16" }, "uris" : [ "http://www.mendeley.com/documents/?uuid=aaeae03d-081d-417e-a6c0-255da356a951" ] }, { "id" : "ITEM-4", "itemData" : { "author" : [ { "dropping-particle" : "", "family" : "Mudey", "given" : "Abhay Bhausaheb", "non-dropping-particle" : "", "parse-names" : false, "suffix" : "" }, { "dropping-particle" : "", "family" : "Kesharwani", "given" : "Naveeta", "non-dropping-particle" : "", "parse-names" : false, "suffix" : "" }, { "dropping-particle" : "", "family" : "Mudey", "given" : "Gargi Abhay", "non-dropping-particle" : "", "parse-names" : false, "suffix" : "" }, { "dropping-particle" : "", "family" : "Goyal", "given" : "Ramchandra C.", "non-dropping-particle" : "", "parse-names" : false, "suffix" : "" } ], "container-title" : "Global Journal of Health Science", "id" : "ITEM-4", "issue" : "2", "issued" : { "date-parts" : [ [ "2010" ] ] }, "page" : "225-231", "title" : "A Cross-sectional Study on Awareness Regarding Safe and Hygienic Practices amongst School Going Adolescent Girls in Rural Area of Wardha District, India", "type" : "article-journal", "volume" : "2" }, "uris" : [ "http://www.mendeley.com/documents/?uuid=b1e3c5f8-6695-4a8f-9a14-1a8757a2757d" ] } ], "mendeley" : { "formattedCitation" : "(Acharya, Yadav, &amp; Baridalyne, 2006; R. Garg et al., 2012; Mudey et al., 2010; Singh, Kandpal, &amp; Roy, 2011)", "plainTextFormattedCitation" : "(Acharya, Yadav, &amp; Baridalyne, 2006; R. Garg et al., 2012; Mudey et al., 2010; Singh, Kandpal, &amp; Roy, 2011)", "previouslyFormattedCitation" : "(Acharya et al., 2006; Garg et al., 2012; Mudey et al., 2010; Singh et al., 2011)" }, "properties" : { "noteIndex" : 0 }, "schema" : "https://github.com/citation-style-language/schema/raw/master/csl-citation.json" }</w:instrText>
      </w:r>
      <w:r w:rsidR="002E66D2" w:rsidRPr="00D42E39">
        <w:rPr>
          <w:rFonts w:asciiTheme="minorBidi" w:hAnsiTheme="minorBidi" w:cs="Times New Roman"/>
        </w:rPr>
        <w:fldChar w:fldCharType="separate"/>
      </w:r>
      <w:r w:rsidR="00C313A9" w:rsidRPr="00D42E39">
        <w:rPr>
          <w:rFonts w:asciiTheme="minorBidi" w:hAnsiTheme="minorBidi" w:cs="Times New Roman"/>
          <w:noProof/>
        </w:rPr>
        <w:t>(Acharya, Yadav, &amp; Baridalyne, 2006; Garg et al., 2012; Mudey et al., 2010; Singh, Kandpal, &amp; Roy, 2011)</w:t>
      </w:r>
      <w:r w:rsidR="002E66D2" w:rsidRPr="00D42E39">
        <w:rPr>
          <w:rFonts w:asciiTheme="minorBidi" w:hAnsiTheme="minorBidi" w:cs="Times New Roman"/>
        </w:rPr>
        <w:fldChar w:fldCharType="end"/>
      </w:r>
      <w:r w:rsidR="00F04AE3" w:rsidRPr="00D42E39">
        <w:rPr>
          <w:rFonts w:asciiTheme="minorBidi" w:hAnsiTheme="minorBidi" w:cs="Times New Roman"/>
        </w:rPr>
        <w:t>.</w:t>
      </w:r>
      <w:r w:rsidR="005449BA" w:rsidRPr="00D42E39">
        <w:rPr>
          <w:rFonts w:asciiTheme="minorBidi" w:hAnsiTheme="minorBidi" w:cs="Times New Roman"/>
        </w:rPr>
        <w:t xml:space="preserve"> These studies reported that </w:t>
      </w:r>
      <w:r w:rsidR="001965B5">
        <w:rPr>
          <w:rFonts w:asciiTheme="minorBidi" w:hAnsiTheme="minorBidi" w:cs="Times New Roman"/>
        </w:rPr>
        <w:t>a</w:t>
      </w:r>
      <w:r w:rsidR="005449BA" w:rsidRPr="00D42E39">
        <w:rPr>
          <w:rFonts w:asciiTheme="minorBidi" w:hAnsiTheme="minorBidi" w:cs="Times New Roman"/>
        </w:rPr>
        <w:t xml:space="preserve"> </w:t>
      </w:r>
      <w:r w:rsidR="0005479F" w:rsidRPr="00D42E39">
        <w:rPr>
          <w:rFonts w:asciiTheme="minorBidi" w:hAnsiTheme="minorBidi" w:cs="Times New Roman"/>
        </w:rPr>
        <w:t xml:space="preserve">majority of the </w:t>
      </w:r>
      <w:r w:rsidR="005449BA" w:rsidRPr="00D42E39">
        <w:rPr>
          <w:rFonts w:asciiTheme="minorBidi" w:hAnsiTheme="minorBidi" w:cs="Times New Roman"/>
        </w:rPr>
        <w:t xml:space="preserve">adolescent and young women grossly lack </w:t>
      </w:r>
      <w:r w:rsidR="0005479F" w:rsidRPr="00D42E39">
        <w:rPr>
          <w:rFonts w:asciiTheme="minorBidi" w:hAnsiTheme="minorBidi" w:cs="Times New Roman"/>
        </w:rPr>
        <w:t xml:space="preserve">information and the means to manage their menstruation. </w:t>
      </w:r>
      <w:r w:rsidR="001965B5">
        <w:rPr>
          <w:rFonts w:asciiTheme="minorBidi" w:hAnsiTheme="minorBidi" w:cs="Times New Roman"/>
        </w:rPr>
        <w:t>G</w:t>
      </w:r>
      <w:r w:rsidR="0005479F" w:rsidRPr="00D42E39">
        <w:rPr>
          <w:rFonts w:asciiTheme="minorBidi" w:hAnsiTheme="minorBidi" w:cs="Times New Roman"/>
        </w:rPr>
        <w:t xml:space="preserve">irls in the rural area were particularly </w:t>
      </w:r>
      <w:r w:rsidR="00184424">
        <w:rPr>
          <w:rFonts w:asciiTheme="minorBidi" w:hAnsiTheme="minorBidi" w:cs="Times New Roman"/>
        </w:rPr>
        <w:t xml:space="preserve">in a </w:t>
      </w:r>
      <w:r w:rsidR="0005479F" w:rsidRPr="00D42E39">
        <w:rPr>
          <w:rFonts w:asciiTheme="minorBidi" w:hAnsiTheme="minorBidi" w:cs="Times New Roman"/>
        </w:rPr>
        <w:t>disadvantaged</w:t>
      </w:r>
      <w:r w:rsidR="00184424">
        <w:rPr>
          <w:rFonts w:asciiTheme="minorBidi" w:hAnsiTheme="minorBidi" w:cs="Times New Roman"/>
        </w:rPr>
        <w:t xml:space="preserve"> position</w:t>
      </w:r>
      <w:r w:rsidR="0005479F" w:rsidRPr="00D42E39">
        <w:rPr>
          <w:rFonts w:asciiTheme="minorBidi" w:hAnsiTheme="minorBidi" w:cs="Times New Roman"/>
        </w:rPr>
        <w:t xml:space="preserve">. </w:t>
      </w:r>
      <w:r w:rsidR="00F04AE3" w:rsidRPr="00D42E39">
        <w:rPr>
          <w:rFonts w:asciiTheme="minorBidi" w:hAnsiTheme="minorBidi" w:cs="Times New Roman"/>
        </w:rPr>
        <w:t xml:space="preserve">Some of the studies conducted in Africa </w:t>
      </w:r>
      <w:r w:rsidR="00F04AE3"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"DOI" : "10.1371/journal.pmed.1001962", "ISSN" : "15491676", "PMID" : "26908274", "abstract" : "Marni Sommer and colleagues reflect on priorities needed to guide global, national, and local action to address girls' menstrual hygiene management needs in schools.", "author" : [ { "dropping-particle" : "", "family" : "Sommer", "given" : "Marni", "non-dropping-particle" : "", "parse-names" : false, "suffix" : "" }, { "dropping-particle" : "", "family" : "Caruso", "given" : "Bethany A.", "non-dropping-particle" : "", "parse-names" : false, "suffix" : "" }, { "dropping-particle" : "", "family" : "Sahin", "given" : "Murat", "non-dropping-particle" : "", "parse-names" : false, "suffix" : "" }, { "dropping-particle" : "", "family" : "Calderon", "given" : "Teresa", "non-dropping-particle" : "", "parse-names" : false, "suffix" : "" }, { "dropping-particle" : "", "family" : "Cavill", "given" : "Sue", "non-dropping-particle" : "", "parse-names" : false, "suffix" : "" }, { "dropping-particle" : "", "family" : "Mahon", "given" : "Therese", "non-dropping-particle" : "", "parse-names" : false, "suffix" : "" }, { "dropping-particle" : "", "family" : "Phillips-Howard", "given" : "Penelope A.", "non-dropping-particle" : "", "parse-names" : false, "suffix" : "" } ], "container-title" : "PLoS Medicine", "id" : "ITEM-1", "issue" : "2", "issued" : { "date-parts" : [ [ "2016" ] ] }, "page" : "e1001962", "title" : "A Time for Global Action: Addressing Girls\u2019 Menstrual Hygiene Management Needs in Schools", "type" : "article-journal", "volume" : "13" }, "uris" : [ "http://www.mendeley.com/documents/?uuid=8ef5777e-a103-4a72-a327-cc99a8a05d9f" ] }, { "id" : "ITEM-2", "itemData" : { "author" : [ { "dropping-particle" : "", "family" : "Sommer", "given" : "Marni", "non-dropping-particle" : "", "parse-names" : false, "suffix" : "" }, { "dropping-particle" : "", "family" : "Vasquez", "given" : "Emily", "non-dropping-particle" : "", "parse-names" : false, "suffix" : "" }, { "dropping-particle" : "", "family" : "Worthington", "given" : "Nancy", "non-dropping-particle" : "", "parse-names" : false, "suffix" : "" }, { "dropping-particle" : "", "family" : "Sahin", "given" : "Murat", "non-dropping-particle" : "", "parse-names" : false, "suffix" : "" } ], "id" : "ITEM-2", "issued" : { "date-parts" : [ [ "2012" ] ] }, "number-of-pages" : "1-36", "publisher-place" : "New York", "title" : "WASH in Schools Empowers Girls, Education: Proceedings of the Menstrual Hygiene Management in Schools", "type" : "report" }, "uris" : [ "http://www.mendeley.com/documents/?uuid=371280cf-2f08-40f7-b953-8f89e661b794" ] }, { "id" : "ITEM-3", "itemData" : { "DOI" : "10.3362/1756-3488.2010.030", "ISBN" : "02628104 (ISSN)", "ISSN" : "02628104", "abstract" : "The water and sanitation community, in partnership with the educator sector, is long overdue in taking ownership of the menstrual hygiene management agenda for schools in low-income settings. While the global community writ large is implementing numerous interventions aimed at closing the gender gap in education, attention to assuring schools are non-discriminating structural environments where both girls and boys can succeed academically continues to be limited. Engaging schoolgirls in the assessment process to determine the essential water and sanitation interventions needed to enable comfortable school attendance and participation during monthly menses is critical. Solutions can be cost effective, but must be grounded in the local context, and designed according to the recommendations of school-going girls", "author" : [ { "dropping-particle" : "", "family" : "Sommer", "given" : "Marni", "non-dropping-particle" : "", "parse-names" : false, "suffix" : "" } ], "container-title" : "Waterlines", "id" : "ITEM-3", "issue" : "4", "issued" : { "date-parts" : [ [ "2010" ] ] }, "page" : "268-278", "title" : "Putting menstrual hygiene management on to the school water and sanitation agenda", "type" : "article-journal", "volume" : "29" }, "uris" : [ "http://www.mendeley.com/documents/?uuid=aa2bd39d-d4e6-4272-b84e-0837ce0a5474", "http://www.mendeley.com/documents/?uuid=42f55b04-0f0f-45ed-92f5-6086f09365cd" ] }, { "id" : "ITEM-4", "itemData" : { "DOI" : "10.2105/AJPH.2013.301374", "ISBN" : "10.2105/AJPH.2013.301374", "ISSN" : "00900036", "PMID" : "23865645", "author" : [ { "dropping-particle" : "", "family" : "Sommer", "given" : "M", "non-dropping-particle" : "", "parse-names" : false, "suffix" : "" }, { "dropping-particle" : "", "family" : "Sahin", "given" : "Murat", "non-dropping-particle" : "", "parse-names" : false, "suffix" : "" } ], "container-title" : "American Journal of Public Health", "id" : "ITEM-4", "issue" : "9", "issued" : { "date-parts" : [ [ "2013" ] ] }, "page" : "1556-1559", "title" : "Overcoming the Taboo: Advancing the Global Agenda for Menstrual Hygiene Management for Schoolgirls", "type" : "article-journal", "volume" : "103" }, "uris" : [ "http://www.mendeley.com/documents/?uuid=3188548e-de2e-4193-b7bb-53673a11cb14", "http://www.mendeley.com/documents/?uuid=14fa438e-3b3d-44d1-8231-a14dbd1040a5" ] } ], "mendeley" : { "formattedCitation" : "(Marni Sommer, 2010; Marni Sommer et al., 2016; Marni Sommer, Vasquez, Worthington, &amp; Sahin, 2012; M Sommer &amp; Sahin, 2013)", "plainTextFormattedCitation" : "(Marni Sommer, 2010; Marni Sommer et al., 2016; Marni Sommer, Vasquez, Worthington, &amp; Sahin, 2012; M Sommer &amp; Sahin, 2013)", "previouslyFormattedCitation" : "(Sommer, 2010; Sommer et al., 2016, 2012; Sommer and Sahin, 2013)" }, "properties" : { "noteIndex" : 0 }, "schema" : "https://github.com/citation-style-language/schema/raw/master/csl-citation.json" }</w:instrText>
      </w:r>
      <w:r w:rsidR="00F04AE3" w:rsidRPr="00D42E39">
        <w:rPr>
          <w:rFonts w:asciiTheme="minorBidi" w:hAnsiTheme="minorBidi" w:cs="Times New Roman"/>
        </w:rPr>
        <w:fldChar w:fldCharType="separate"/>
      </w:r>
      <w:r w:rsidR="00C313A9" w:rsidRPr="00D42E39">
        <w:rPr>
          <w:rFonts w:asciiTheme="minorBidi" w:hAnsiTheme="minorBidi" w:cs="Times New Roman"/>
          <w:noProof/>
        </w:rPr>
        <w:t>(Sommer, 2010; Sommer et al., 2016; Sommer, Vasquez, Worthington, &amp; Sahin, 2012; Sommer &amp; Sahin, 2013)</w:t>
      </w:r>
      <w:r w:rsidR="00F04AE3" w:rsidRPr="00D42E39">
        <w:rPr>
          <w:rFonts w:asciiTheme="minorBidi" w:hAnsiTheme="minorBidi" w:cs="Times New Roman"/>
        </w:rPr>
        <w:fldChar w:fldCharType="end"/>
      </w:r>
      <w:r w:rsidR="00F04AE3" w:rsidRPr="00D42E39">
        <w:rPr>
          <w:rFonts w:asciiTheme="minorBidi" w:hAnsiTheme="minorBidi" w:cs="Times New Roman"/>
        </w:rPr>
        <w:t xml:space="preserve"> as well as South Asia </w:t>
      </w:r>
      <w:r w:rsidR="00F04AE3"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"DOI" : "10.3362/1756-3488.2015.001", "ISSN" : "02628104", "abstract" : "Menstrual hygiene ManageMent has been defined as: 'Women and adolescent girls using a clean menstrual management material to absorb or collect blood that can be changed in privacy as often as necessary for the duration of the menstruation period, using soap and water for washing the body as required, and having access to facilities to dispose of used menstrual management materials' (UNICEF and WHO, 2014). However, menstrual hygiene is not just about the management of the menstrual period but also the need to address societal beliefs and taboos surrounding the issue. Until recently, the development sector including WASH (water, sanitation and hygiene) had not explored and attempted to address the challenges related to Menstrual Hygiene Management (MHM), an important issue affecting the health, dignity and privacy of millions of girls and women on a daily basis. It is great to have a whole issue of Waterlines dedicated to MHM, as it will help us, the male-dominated, engineering-based sector, to increase our understanding of this aspect of the development work we do on a daily basis. Tackling the stigma and gender marginalization related to menstruation can be difficult due to the perception that menstrual health programmes represent a challenge to traditional social norms. Adolescent girls and women need clean menstrual management materials to absorb or collect blood that can be changed in privacy as often as necessary for the duration of the menstruation period. WASH in Schools (WinS) programmes are good entry points to improve menstrual hygiene management and provide us with the opportunity to initiate discussions on broader issues related to menstruation. WASH in Schools programmes engage with the community and the education system on the issues of improving access to water supply and sanitation facilities and promoting good hygiene practices. This engagement builds rapport and a working relationship between communities and schools, paving the way for discussions and actions to address the MHM challenges that girls face in schools and the challenges they face within their communities and homes. Girls face additional barriers to getting a quality education when they reach puberty. Many girls do not attend school during their menstrual periods as they are faced with a lack of toilets that provide privacy, water, soap and ways to clean or dispose of sanitary napkins. Girls are also subject to social stigma and a greater risk of Murat Sahin is the Advisor \u2026", "author" : [ { "dropping-particle" : "", "family" : "Sahin", "given" : "Murat", "non-dropping-particle" : "", "parse-names" : false, "suffix" : "" } ], "container-title" : "Waterlines", "id" : "ITEM-1", "issue" : "1", "issued" : { "date-parts" : [ [ "2015" ] ] }, "page" : "3-6", "title" : "Tackling the stigma and gender marginalization related to menstruation via WASH in schools programmes", "type" : "article-journal", "volume" : "34" }, "uris" : [ "http://www.mendeley.com/documents/?uuid=ade7426a-1e37-494e-9a75-b0cf9475b0fe" ] }, { "id" : "ITEM-2", "itemData" : { "DOI" : "10.1080/13552071003600083", "ISSN" : "1355-2074", "author" : [ { "dropping-particle" : "", "family" : "Mahon", "given" : "Th\u00e9r\u00e8se", "non-dropping-particle" : "", "parse-names" : false, "suffix" : "" }, { "dropping-particle" : "", "family" : "Fernandes", "given" : "Maria", "non-dropping-particle" : "", "parse-names" : false, "suffix" : "" } ], "container-title" : "Gender &amp; Development", "id" : "ITEM-2", "issue" : "1", "issued" : { "date-parts" : [ [ "2010", "3" ] ] }, "page" : "99-113", "title" : "Menstrual hygiene in South Asia: a neglected issue for WASH (water, sanitation and hygiene) programmes", "type" : "article-journal", "volume" : "18" }, "uris" : [ "http://www.mendeley.com/documents/?uuid=642856dc-cc88-41e1-937e-fb425bea1430" ] } ], "mendeley" : { "formattedCitation" : "(Mahon &amp; Fernandes, 2010; Sahin, 2015)", "plainTextFormattedCitation" : "(Mahon &amp; Fernandes, 2010; Sahin, 2015)", "previouslyFormattedCitation" : "(Mahon and Fernandes, 2010; Sahin, 2015)" }, "properties" : { "noteIndex" : 0 }, "schema" : "https://github.com/citation-style-language/schema/raw/master/csl-citation.json" }</w:instrText>
      </w:r>
      <w:r w:rsidR="00F04AE3" w:rsidRPr="00D42E39">
        <w:rPr>
          <w:rFonts w:asciiTheme="minorBidi" w:hAnsiTheme="minorBidi" w:cs="Times New Roman"/>
        </w:rPr>
        <w:fldChar w:fldCharType="separate"/>
      </w:r>
      <w:r w:rsidR="00C313A9" w:rsidRPr="00D42E39">
        <w:rPr>
          <w:rFonts w:asciiTheme="minorBidi" w:hAnsiTheme="minorBidi" w:cs="Times New Roman"/>
          <w:noProof/>
        </w:rPr>
        <w:t>(Mahon &amp; Fernandes, 2010; Sahin, 2015)</w:t>
      </w:r>
      <w:r w:rsidR="00F04AE3" w:rsidRPr="00D42E39">
        <w:rPr>
          <w:rFonts w:asciiTheme="minorBidi" w:hAnsiTheme="minorBidi" w:cs="Times New Roman"/>
        </w:rPr>
        <w:fldChar w:fldCharType="end"/>
      </w:r>
      <w:r w:rsidR="00362072" w:rsidRPr="00D42E39">
        <w:rPr>
          <w:rFonts w:asciiTheme="minorBidi" w:hAnsiTheme="minorBidi" w:cs="Times New Roman"/>
        </w:rPr>
        <w:t xml:space="preserve"> </w:t>
      </w:r>
      <w:r w:rsidR="00F04AE3" w:rsidRPr="00D42E39">
        <w:rPr>
          <w:rFonts w:asciiTheme="minorBidi" w:hAnsiTheme="minorBidi" w:cs="Times New Roman"/>
        </w:rPr>
        <w:t xml:space="preserve">had a dominant focus to understand the linkages </w:t>
      </w:r>
      <w:r w:rsidRPr="00D42E39">
        <w:rPr>
          <w:rFonts w:asciiTheme="minorBidi" w:hAnsiTheme="minorBidi" w:cs="Times New Roman"/>
        </w:rPr>
        <w:t xml:space="preserve">between </w:t>
      </w:r>
      <w:r w:rsidR="0005479F" w:rsidRPr="00D42E39">
        <w:rPr>
          <w:rFonts w:asciiTheme="minorBidi" w:hAnsiTheme="minorBidi" w:cs="Times New Roman"/>
        </w:rPr>
        <w:t xml:space="preserve">the </w:t>
      </w:r>
      <w:r w:rsidRPr="00D42E39">
        <w:rPr>
          <w:rFonts w:asciiTheme="minorBidi" w:hAnsiTheme="minorBidi" w:cs="Times New Roman"/>
        </w:rPr>
        <w:t xml:space="preserve">availability of toilet facility in the school premises and the </w:t>
      </w:r>
      <w:r w:rsidR="00F04AE3" w:rsidRPr="00D42E39">
        <w:rPr>
          <w:rFonts w:asciiTheme="minorBidi" w:hAnsiTheme="minorBidi" w:cs="Times New Roman"/>
        </w:rPr>
        <w:t>school attendance</w:t>
      </w:r>
      <w:r w:rsidR="003E348F" w:rsidRPr="00D42E39">
        <w:rPr>
          <w:rFonts w:asciiTheme="minorBidi" w:hAnsiTheme="minorBidi" w:cs="Times New Roman"/>
        </w:rPr>
        <w:t xml:space="preserve"> </w:t>
      </w:r>
      <w:r w:rsidRPr="00D42E39">
        <w:rPr>
          <w:rFonts w:asciiTheme="minorBidi" w:hAnsiTheme="minorBidi" w:cs="Times New Roman"/>
        </w:rPr>
        <w:t xml:space="preserve">of </w:t>
      </w:r>
      <w:r w:rsidR="00F04AE3" w:rsidRPr="00D42E39">
        <w:rPr>
          <w:rFonts w:asciiTheme="minorBidi" w:hAnsiTheme="minorBidi" w:cs="Times New Roman"/>
        </w:rPr>
        <w:t>girls.</w:t>
      </w:r>
      <w:r w:rsidR="002E66D2" w:rsidRPr="00D42E39">
        <w:rPr>
          <w:rFonts w:asciiTheme="minorBidi" w:hAnsiTheme="minorBidi" w:cs="Times New Roman"/>
        </w:rPr>
        <w:t xml:space="preserve"> </w:t>
      </w:r>
      <w:r w:rsidR="001965B5">
        <w:rPr>
          <w:rFonts w:asciiTheme="minorBidi" w:hAnsiTheme="minorBidi" w:cs="Times New Roman"/>
        </w:rPr>
        <w:t>A</w:t>
      </w:r>
      <w:r w:rsidR="0005479F" w:rsidRPr="00D42E39">
        <w:rPr>
          <w:rFonts w:asciiTheme="minorBidi" w:hAnsiTheme="minorBidi" w:cs="Times New Roman"/>
        </w:rPr>
        <w:t xml:space="preserve"> majority of the studies observed that the school dropouts and absenteeism were much lower in schools having toilet facility for girls. </w:t>
      </w:r>
      <w:r w:rsidR="003E348F" w:rsidRPr="00D42E39">
        <w:rPr>
          <w:rFonts w:asciiTheme="minorBidi" w:hAnsiTheme="minorBidi" w:cs="Times New Roman"/>
        </w:rPr>
        <w:t xml:space="preserve">However, in general </w:t>
      </w:r>
      <w:r w:rsidR="002E66D2" w:rsidRPr="00D42E39">
        <w:rPr>
          <w:rFonts w:asciiTheme="minorBidi" w:hAnsiTheme="minorBidi" w:cs="Times New Roman"/>
        </w:rPr>
        <w:t xml:space="preserve">very little is known about the </w:t>
      </w:r>
      <w:r w:rsidR="003E348F" w:rsidRPr="00D42E39">
        <w:rPr>
          <w:rFonts w:asciiTheme="minorBidi" w:hAnsiTheme="minorBidi" w:cs="Times New Roman"/>
        </w:rPr>
        <w:t xml:space="preserve">factors </w:t>
      </w:r>
      <w:r w:rsidRPr="00D42E39">
        <w:rPr>
          <w:rFonts w:asciiTheme="minorBidi" w:hAnsiTheme="minorBidi" w:cs="Times New Roman"/>
        </w:rPr>
        <w:t xml:space="preserve">responsible for </w:t>
      </w:r>
      <w:r w:rsidR="004E7255" w:rsidRPr="00D42E39">
        <w:rPr>
          <w:rFonts w:asciiTheme="minorBidi" w:hAnsiTheme="minorBidi" w:cs="Times New Roman"/>
        </w:rPr>
        <w:t xml:space="preserve">MHM </w:t>
      </w:r>
      <w:r w:rsidRPr="00D42E39">
        <w:rPr>
          <w:rFonts w:asciiTheme="minorBidi" w:hAnsiTheme="minorBidi" w:cs="Times New Roman"/>
        </w:rPr>
        <w:t xml:space="preserve">among the adolescent and young women at the community level. </w:t>
      </w:r>
    </w:p>
    <w:p w14:paraId="06474999" w14:textId="77777777" w:rsidR="00891C25" w:rsidRDefault="00891C25" w:rsidP="00D42E39">
      <w:pPr>
        <w:spacing w:after="0" w:line="240" w:lineRule="auto"/>
        <w:ind w:firstLine="567"/>
        <w:jc w:val="both"/>
        <w:rPr>
          <w:rFonts w:asciiTheme="minorBidi" w:hAnsiTheme="minorBidi" w:cs="Times New Roman"/>
        </w:rPr>
      </w:pPr>
    </w:p>
    <w:p w14:paraId="70A5B991" w14:textId="110BB40A" w:rsidR="00A46FCF" w:rsidRPr="00D42E39" w:rsidRDefault="00474E2F" w:rsidP="00D42E39">
      <w:pPr>
        <w:spacing w:after="0" w:line="240" w:lineRule="auto"/>
        <w:ind w:firstLine="567"/>
        <w:jc w:val="both"/>
        <w:rPr>
          <w:rFonts w:asciiTheme="minorBidi" w:hAnsiTheme="minorBidi" w:cs="Times New Roman"/>
        </w:rPr>
      </w:pPr>
      <w:r w:rsidRPr="00D42E39">
        <w:rPr>
          <w:rFonts w:asciiTheme="minorBidi" w:hAnsiTheme="minorBidi" w:cs="Times New Roman"/>
        </w:rPr>
        <w:t xml:space="preserve">A community based large scale database permits a better representation of the adolescent and young women in a context such as India where considerable number of girls never enrolled in a school. </w:t>
      </w:r>
      <w:r w:rsidR="0005479F" w:rsidRPr="00D42E39">
        <w:rPr>
          <w:rFonts w:asciiTheme="minorBidi" w:hAnsiTheme="minorBidi" w:cs="Times New Roman"/>
        </w:rPr>
        <w:t xml:space="preserve">Besides, the earlier studies often investigated the individual and family level factors </w:t>
      </w:r>
      <w:r w:rsidR="00A46FCF" w:rsidRPr="00D42E39">
        <w:rPr>
          <w:rFonts w:asciiTheme="minorBidi" w:hAnsiTheme="minorBidi" w:cs="Times New Roman"/>
        </w:rPr>
        <w:t xml:space="preserve">but neglected the structure </w:t>
      </w:r>
      <w:r w:rsidR="0005479F" w:rsidRPr="00D42E39">
        <w:rPr>
          <w:rFonts w:asciiTheme="minorBidi" w:hAnsiTheme="minorBidi" w:cs="Times New Roman"/>
        </w:rPr>
        <w:t>affecting MHM</w:t>
      </w:r>
      <w:r w:rsidR="00A46FCF" w:rsidRPr="00D42E39">
        <w:rPr>
          <w:rFonts w:asciiTheme="minorBidi" w:hAnsiTheme="minorBidi" w:cs="Times New Roman"/>
        </w:rPr>
        <w:t>.</w:t>
      </w:r>
      <w:r w:rsidR="0005479F" w:rsidRPr="00D42E39">
        <w:rPr>
          <w:rFonts w:asciiTheme="minorBidi" w:hAnsiTheme="minorBidi" w:cs="Times New Roman"/>
        </w:rPr>
        <w:t xml:space="preserve"> </w:t>
      </w:r>
      <w:r w:rsidR="00D03F30" w:rsidRPr="00D42E39">
        <w:rPr>
          <w:rFonts w:asciiTheme="minorBidi" w:hAnsiTheme="minorBidi" w:cs="Times New Roman"/>
        </w:rPr>
        <w:t>Additionally, a</w:t>
      </w:r>
      <w:r w:rsidRPr="00D42E39">
        <w:rPr>
          <w:rFonts w:asciiTheme="minorBidi" w:hAnsiTheme="minorBidi" w:cs="Times New Roman"/>
        </w:rPr>
        <w:t xml:space="preserve"> very robust data analysis technique employed in this paper allows to provide </w:t>
      </w:r>
      <w:r w:rsidR="004E7255" w:rsidRPr="00D42E39">
        <w:rPr>
          <w:rFonts w:asciiTheme="minorBidi" w:hAnsiTheme="minorBidi" w:cs="Times New Roman"/>
        </w:rPr>
        <w:t>percentage contribution of each of the factors</w:t>
      </w:r>
      <w:r w:rsidRPr="00D42E39">
        <w:rPr>
          <w:rFonts w:asciiTheme="minorBidi" w:hAnsiTheme="minorBidi" w:cs="Times New Roman"/>
        </w:rPr>
        <w:t xml:space="preserve"> </w:t>
      </w:r>
      <w:r w:rsidR="00D03F30" w:rsidRPr="00D42E39">
        <w:rPr>
          <w:rFonts w:asciiTheme="minorBidi" w:hAnsiTheme="minorBidi" w:cs="Times New Roman"/>
        </w:rPr>
        <w:t>contributing towards</w:t>
      </w:r>
      <w:r w:rsidRPr="00D42E39">
        <w:rPr>
          <w:rFonts w:asciiTheme="minorBidi" w:hAnsiTheme="minorBidi" w:cs="Times New Roman"/>
        </w:rPr>
        <w:t xml:space="preserve"> MHM. T</w:t>
      </w:r>
      <w:r w:rsidR="004E7255" w:rsidRPr="00D42E39">
        <w:rPr>
          <w:rFonts w:asciiTheme="minorBidi" w:hAnsiTheme="minorBidi" w:cs="Times New Roman"/>
        </w:rPr>
        <w:t xml:space="preserve">he </w:t>
      </w:r>
      <w:r w:rsidR="005449BA" w:rsidRPr="00D42E39">
        <w:rPr>
          <w:rFonts w:asciiTheme="minorBidi" w:hAnsiTheme="minorBidi" w:cs="Times New Roman"/>
        </w:rPr>
        <w:t xml:space="preserve">understanding of the </w:t>
      </w:r>
      <w:r w:rsidR="002E66D2" w:rsidRPr="00D42E39">
        <w:rPr>
          <w:rFonts w:asciiTheme="minorBidi" w:hAnsiTheme="minorBidi" w:cs="Times New Roman"/>
        </w:rPr>
        <w:t>socio-economic inequalities in using hygienic menstrual absorbent</w:t>
      </w:r>
      <w:r w:rsidR="005449BA" w:rsidRPr="00D42E39">
        <w:rPr>
          <w:rFonts w:asciiTheme="minorBidi" w:hAnsiTheme="minorBidi" w:cs="Times New Roman"/>
        </w:rPr>
        <w:t xml:space="preserve"> </w:t>
      </w:r>
      <w:r w:rsidR="002E66D2" w:rsidRPr="00D42E39">
        <w:rPr>
          <w:rFonts w:asciiTheme="minorBidi" w:hAnsiTheme="minorBidi" w:cs="Times New Roman"/>
        </w:rPr>
        <w:t>can</w:t>
      </w:r>
      <w:r w:rsidR="004E7255" w:rsidRPr="00D42E39">
        <w:rPr>
          <w:rFonts w:asciiTheme="minorBidi" w:hAnsiTheme="minorBidi" w:cs="Times New Roman"/>
        </w:rPr>
        <w:t xml:space="preserve"> form an evidence base to</w:t>
      </w:r>
      <w:r w:rsidR="002E66D2" w:rsidRPr="00D42E39">
        <w:rPr>
          <w:rFonts w:asciiTheme="minorBidi" w:hAnsiTheme="minorBidi" w:cs="Times New Roman"/>
        </w:rPr>
        <w:t xml:space="preserve"> better inform the policy and programme design </w:t>
      </w:r>
      <w:r w:rsidR="004E7255" w:rsidRPr="00D42E39">
        <w:rPr>
          <w:rFonts w:asciiTheme="minorBidi" w:hAnsiTheme="minorBidi" w:cs="Times New Roman"/>
        </w:rPr>
        <w:t xml:space="preserve">for an </w:t>
      </w:r>
      <w:r w:rsidR="002E66D2" w:rsidRPr="00D42E39">
        <w:rPr>
          <w:rFonts w:asciiTheme="minorBidi" w:hAnsiTheme="minorBidi" w:cs="Times New Roman"/>
        </w:rPr>
        <w:t>effective intervention</w:t>
      </w:r>
      <w:r w:rsidR="00155379" w:rsidRPr="00D42E39">
        <w:rPr>
          <w:rFonts w:asciiTheme="minorBidi" w:hAnsiTheme="minorBidi" w:cs="Times New Roman"/>
        </w:rPr>
        <w:t xml:space="preserve">. </w:t>
      </w:r>
      <w:r w:rsidR="00A46FCF" w:rsidRPr="00D42E39">
        <w:rPr>
          <w:rFonts w:asciiTheme="minorBidi" w:hAnsiTheme="minorBidi" w:cs="Times New Roman"/>
        </w:rPr>
        <w:t xml:space="preserve">Therefore, we examined the socio-economic inequalities contributing to the use of hygienic menstrual absorbent during menstruation among unmarried young women in India and the Empowered Action Group (EAG) states. The selected EAG states are the most populous states and </w:t>
      </w:r>
      <w:r w:rsidR="00A46FCF" w:rsidRPr="00D42E39">
        <w:rPr>
          <w:rFonts w:asciiTheme="minorBidi" w:hAnsiTheme="minorBidi" w:cs="Times New Roman"/>
        </w:rPr>
        <w:lastRenderedPageBreak/>
        <w:t>lag beh</w:t>
      </w:r>
      <w:r w:rsidR="00891C25">
        <w:rPr>
          <w:rFonts w:asciiTheme="minorBidi" w:hAnsiTheme="minorBidi" w:cs="Times New Roman"/>
        </w:rPr>
        <w:t>ind the other progressive states</w:t>
      </w:r>
      <w:r w:rsidR="00A46FCF" w:rsidRPr="00D42E39">
        <w:rPr>
          <w:rFonts w:asciiTheme="minorBidi" w:hAnsiTheme="minorBidi" w:cs="Times New Roman"/>
        </w:rPr>
        <w:t>. The</w:t>
      </w:r>
      <w:r w:rsidR="001965B5">
        <w:rPr>
          <w:rFonts w:asciiTheme="minorBidi" w:hAnsiTheme="minorBidi" w:cs="Times New Roman"/>
        </w:rPr>
        <w:t xml:space="preserve">y </w:t>
      </w:r>
      <w:r w:rsidR="00A46FCF" w:rsidRPr="00D42E39">
        <w:rPr>
          <w:rFonts w:asciiTheme="minorBidi" w:hAnsiTheme="minorBidi" w:cs="Times New Roman"/>
        </w:rPr>
        <w:t xml:space="preserve">are referred as EAG states needing a special focus on population stabilization, health care services and overall socio-economic development—a clear background of low-income settings of India.  </w:t>
      </w:r>
    </w:p>
    <w:p w14:paraId="20CCD189" w14:textId="491D6CF2" w:rsidR="005449BA" w:rsidRPr="00D42E39" w:rsidRDefault="005449BA" w:rsidP="00D42E39">
      <w:pPr>
        <w:spacing w:after="0" w:line="240" w:lineRule="auto"/>
        <w:ind w:firstLine="567"/>
        <w:jc w:val="both"/>
        <w:rPr>
          <w:rFonts w:asciiTheme="minorBidi" w:hAnsiTheme="minorBidi" w:cs="Times New Roman"/>
        </w:rPr>
      </w:pPr>
    </w:p>
    <w:p w14:paraId="4E7762FC" w14:textId="1EBA3E11" w:rsidR="002E66D2" w:rsidRPr="00D42E39" w:rsidRDefault="00D42E39" w:rsidP="00D42E39">
      <w:pPr>
        <w:spacing w:after="0" w:line="240" w:lineRule="auto"/>
        <w:jc w:val="both"/>
        <w:rPr>
          <w:rFonts w:asciiTheme="minorBidi" w:hAnsiTheme="minorBidi" w:cs="Times New Roman"/>
          <w:b/>
        </w:rPr>
      </w:pPr>
      <w:r>
        <w:rPr>
          <w:rFonts w:asciiTheme="minorBidi" w:hAnsiTheme="minorBidi" w:cs="Times New Roman"/>
          <w:b/>
        </w:rPr>
        <w:t xml:space="preserve">II. </w:t>
      </w:r>
      <w:r w:rsidR="002E66D2" w:rsidRPr="00D42E39">
        <w:rPr>
          <w:rFonts w:asciiTheme="minorBidi" w:hAnsiTheme="minorBidi" w:cs="Times New Roman"/>
          <w:b/>
        </w:rPr>
        <w:t>Data and Methods</w:t>
      </w:r>
    </w:p>
    <w:p w14:paraId="16047E17" w14:textId="77777777" w:rsidR="00D42E39" w:rsidRDefault="00D42E39" w:rsidP="00D42E39">
      <w:pPr>
        <w:spacing w:after="0" w:line="240" w:lineRule="auto"/>
        <w:ind w:firstLine="567"/>
        <w:jc w:val="both"/>
        <w:rPr>
          <w:rFonts w:asciiTheme="minorBidi" w:hAnsiTheme="minorBidi" w:cs="Times New Roman"/>
        </w:rPr>
      </w:pPr>
    </w:p>
    <w:p w14:paraId="551D3BE1" w14:textId="2B76188C" w:rsidR="002B35B8" w:rsidRPr="00D42E39" w:rsidRDefault="002E66D2" w:rsidP="00D42E39">
      <w:pPr>
        <w:spacing w:after="0" w:line="240" w:lineRule="auto"/>
        <w:ind w:firstLine="567"/>
        <w:jc w:val="both"/>
        <w:rPr>
          <w:rFonts w:asciiTheme="minorBidi" w:hAnsiTheme="minorBidi" w:cs="Times New Roman"/>
        </w:rPr>
      </w:pPr>
      <w:r w:rsidRPr="00D42E39">
        <w:rPr>
          <w:rFonts w:asciiTheme="minorBidi" w:hAnsiTheme="minorBidi" w:cs="Times New Roman"/>
        </w:rPr>
        <w:t xml:space="preserve">We used data from the third round of DLHS (IIPS, 2010) conducted in 2007-08 in 601 districts from 34 states and union territories. The survey was carried out by the International Institute for Population Sciences, Mumbai under the stewardship of the Ministry of Health and Family Welfare, Government of India. </w:t>
      </w:r>
      <w:r w:rsidR="002B35B8" w:rsidRPr="00D42E39">
        <w:rPr>
          <w:rFonts w:asciiTheme="minorBidi" w:hAnsiTheme="minorBidi" w:cs="Times New Roman"/>
        </w:rPr>
        <w:t>DLHS-3 adopted multi-stage stratified sampling design to select a primary sampling unit (PSU) and the required number of households for interviewing the respondents. From each district, 50 PSUs which were census villages in rural areas and wards in urban areas were selected in the first stage by systematic probability proportional to size (PPS) sampling technique. The PSUs were allocated to rural and urban areas of each district proportionally to the actual rural-urban population ratio. Fieldwork of the survey was conducted from December 2007 to December 2008.</w:t>
      </w:r>
    </w:p>
    <w:p w14:paraId="75C6D180" w14:textId="77777777" w:rsidR="00D42E39" w:rsidRDefault="00D42E39" w:rsidP="00D42E39">
      <w:pPr>
        <w:spacing w:after="0" w:line="240" w:lineRule="auto"/>
        <w:ind w:firstLine="567"/>
        <w:jc w:val="both"/>
        <w:rPr>
          <w:rFonts w:asciiTheme="minorBidi" w:hAnsiTheme="minorBidi" w:cs="Times New Roman"/>
        </w:rPr>
      </w:pPr>
    </w:p>
    <w:p w14:paraId="5D8F1AE0" w14:textId="512A0007" w:rsidR="002E66D2" w:rsidRPr="00D42E39" w:rsidRDefault="002E66D2" w:rsidP="00D42E39">
      <w:pPr>
        <w:spacing w:after="0" w:line="240" w:lineRule="auto"/>
        <w:ind w:firstLine="567"/>
        <w:jc w:val="both"/>
        <w:rPr>
          <w:rFonts w:asciiTheme="minorBidi" w:hAnsiTheme="minorBidi" w:cs="Times New Roman"/>
          <w:i/>
        </w:rPr>
      </w:pPr>
      <w:r w:rsidRPr="00D42E39">
        <w:rPr>
          <w:rFonts w:asciiTheme="minorBidi" w:hAnsiTheme="minorBidi" w:cs="Times New Roman"/>
        </w:rPr>
        <w:t xml:space="preserve">Bilingual questionnaires </w:t>
      </w:r>
      <w:r w:rsidR="003A2C11">
        <w:rPr>
          <w:rFonts w:asciiTheme="minorBidi" w:hAnsiTheme="minorBidi" w:cs="Times New Roman"/>
        </w:rPr>
        <w:t xml:space="preserve">(vernacular and English) </w:t>
      </w:r>
      <w:r w:rsidRPr="00D42E39">
        <w:rPr>
          <w:rFonts w:asciiTheme="minorBidi" w:hAnsiTheme="minorBidi" w:cs="Times New Roman"/>
        </w:rPr>
        <w:t>were used to collect information from the sampled households, ever married women aged 15-49 years, and unmarried adolescent and you</w:t>
      </w:r>
      <w:r w:rsidR="00A64B18" w:rsidRPr="00D42E39">
        <w:rPr>
          <w:rFonts w:asciiTheme="minorBidi" w:hAnsiTheme="minorBidi" w:cs="Times New Roman"/>
        </w:rPr>
        <w:t>ng</w:t>
      </w:r>
      <w:r w:rsidRPr="00D42E39">
        <w:rPr>
          <w:rFonts w:asciiTheme="minorBidi" w:hAnsiTheme="minorBidi" w:cs="Times New Roman"/>
        </w:rPr>
        <w:t xml:space="preserve"> </w:t>
      </w:r>
      <w:r w:rsidR="00A64B18" w:rsidRPr="00D42E39">
        <w:rPr>
          <w:rFonts w:asciiTheme="minorBidi" w:hAnsiTheme="minorBidi" w:cs="Times New Roman"/>
        </w:rPr>
        <w:t xml:space="preserve">women </w:t>
      </w:r>
      <w:r w:rsidRPr="00D42E39">
        <w:rPr>
          <w:rFonts w:asciiTheme="minorBidi" w:hAnsiTheme="minorBidi" w:cs="Times New Roman"/>
        </w:rPr>
        <w:t xml:space="preserve">aged 15-24 years. A total of 1,66,260 unmarried women were interviewed of which </w:t>
      </w:r>
      <w:r w:rsidR="002B35B8" w:rsidRPr="00D42E39">
        <w:rPr>
          <w:rFonts w:asciiTheme="minorBidi" w:hAnsiTheme="minorBidi" w:cs="Times New Roman"/>
        </w:rPr>
        <w:t>we included information of 1,63,530 women who attained menarche</w:t>
      </w:r>
      <w:r w:rsidRPr="00D42E39">
        <w:rPr>
          <w:rFonts w:asciiTheme="minorBidi" w:hAnsiTheme="minorBidi" w:cs="Times New Roman"/>
        </w:rPr>
        <w:t xml:space="preserve">. The interviewer sought the consent of the parents in </w:t>
      </w:r>
      <w:r w:rsidR="0026632E">
        <w:rPr>
          <w:rFonts w:asciiTheme="minorBidi" w:hAnsiTheme="minorBidi" w:cs="Times New Roman"/>
        </w:rPr>
        <w:t xml:space="preserve">the </w:t>
      </w:r>
      <w:r w:rsidRPr="00D42E39">
        <w:rPr>
          <w:rFonts w:asciiTheme="minorBidi" w:hAnsiTheme="minorBidi" w:cs="Times New Roman"/>
        </w:rPr>
        <w:t>case of minor respondents (less than 18 years old). The information gathered included knowledge of family life education or sex education, awareness about legal age at marriage, awareness about contraception, menstruation related problems, knowledge of RTI/STI, HIV/AIDS and its source of information.</w:t>
      </w:r>
      <w:r w:rsidR="002B35B8" w:rsidRPr="00D42E39">
        <w:rPr>
          <w:rFonts w:asciiTheme="minorBidi" w:hAnsiTheme="minorBidi" w:cs="Times New Roman"/>
        </w:rPr>
        <w:t xml:space="preserve"> </w:t>
      </w:r>
      <w:r w:rsidRPr="00D42E39">
        <w:rPr>
          <w:rFonts w:asciiTheme="minorBidi" w:hAnsiTheme="minorBidi" w:cs="Times New Roman"/>
        </w:rPr>
        <w:t>The survey followed a complex design, thus, the results are representative after applying appropriate sampling weights. The sampling weight is calculated and provided in the data file. We have used unmarried women’s sampling weight in our analysis.  A detailed account of survey design and methods are available elsewhere (</w:t>
      </w:r>
      <w:r w:rsidRPr="00293394">
        <w:rPr>
          <w:rFonts w:asciiTheme="minorBidi" w:hAnsiTheme="minorBidi" w:cs="Times New Roman"/>
        </w:rPr>
        <w:t>IIPS, 2010).</w:t>
      </w:r>
    </w:p>
    <w:p w14:paraId="6B0B519E" w14:textId="77777777" w:rsidR="00D42E39" w:rsidRDefault="00D42E39" w:rsidP="00D42E39">
      <w:pPr>
        <w:spacing w:after="0" w:line="240" w:lineRule="auto"/>
        <w:jc w:val="both"/>
        <w:rPr>
          <w:rFonts w:asciiTheme="minorBidi" w:hAnsiTheme="minorBidi" w:cs="Times New Roman"/>
          <w:b/>
          <w:i/>
        </w:rPr>
      </w:pPr>
    </w:p>
    <w:p w14:paraId="5606F20B" w14:textId="67600E23" w:rsidR="002E66D2" w:rsidRPr="00D42E39" w:rsidRDefault="002E66D2" w:rsidP="00D42E39">
      <w:pPr>
        <w:spacing w:after="0" w:line="240" w:lineRule="auto"/>
        <w:jc w:val="both"/>
        <w:rPr>
          <w:rFonts w:asciiTheme="minorBidi" w:hAnsiTheme="minorBidi" w:cs="Times New Roman"/>
          <w:i/>
        </w:rPr>
      </w:pPr>
      <w:r w:rsidRPr="00D42E39">
        <w:rPr>
          <w:rFonts w:asciiTheme="minorBidi" w:hAnsiTheme="minorBidi" w:cs="Times New Roman"/>
          <w:i/>
        </w:rPr>
        <w:t>Variables</w:t>
      </w:r>
    </w:p>
    <w:p w14:paraId="3DA68559" w14:textId="77777777" w:rsidR="00D42E39" w:rsidRDefault="00D42E39" w:rsidP="00D42E39">
      <w:pPr>
        <w:spacing w:after="0" w:line="240" w:lineRule="auto"/>
        <w:ind w:firstLine="567"/>
        <w:jc w:val="both"/>
        <w:rPr>
          <w:rFonts w:asciiTheme="minorBidi" w:hAnsiTheme="minorBidi" w:cs="Times New Roman"/>
        </w:rPr>
      </w:pPr>
    </w:p>
    <w:p w14:paraId="638074B3" w14:textId="411EF10C" w:rsidR="002E66D2" w:rsidRPr="00D42E39" w:rsidRDefault="002E66D2" w:rsidP="00D42E39">
      <w:pPr>
        <w:spacing w:after="0" w:line="240" w:lineRule="auto"/>
        <w:ind w:firstLine="567"/>
        <w:jc w:val="both"/>
        <w:rPr>
          <w:rFonts w:asciiTheme="minorBidi" w:hAnsiTheme="minorBidi" w:cs="Times New Roman"/>
        </w:rPr>
      </w:pPr>
      <w:r w:rsidRPr="00D42E39">
        <w:rPr>
          <w:rFonts w:asciiTheme="minorBidi" w:hAnsiTheme="minorBidi" w:cs="Times New Roman"/>
        </w:rPr>
        <w:t xml:space="preserve">The </w:t>
      </w:r>
      <w:r w:rsidR="002B35B8" w:rsidRPr="00D42E39">
        <w:rPr>
          <w:rFonts w:asciiTheme="minorBidi" w:hAnsiTheme="minorBidi" w:cs="Times New Roman"/>
        </w:rPr>
        <w:t xml:space="preserve">respondents were asked about the </w:t>
      </w:r>
      <w:r w:rsidRPr="00D42E39">
        <w:rPr>
          <w:rFonts w:asciiTheme="minorBidi" w:hAnsiTheme="minorBidi" w:cs="Times New Roman"/>
        </w:rPr>
        <w:t xml:space="preserve">methods </w:t>
      </w:r>
      <w:r w:rsidR="002B35B8" w:rsidRPr="00D42E39">
        <w:rPr>
          <w:rFonts w:asciiTheme="minorBidi" w:hAnsiTheme="minorBidi" w:cs="Times New Roman"/>
        </w:rPr>
        <w:t xml:space="preserve">they </w:t>
      </w:r>
      <w:r w:rsidR="00B7318D">
        <w:rPr>
          <w:rFonts w:asciiTheme="minorBidi" w:hAnsiTheme="minorBidi" w:cs="Times New Roman"/>
        </w:rPr>
        <w:t>used to prevent blood</w:t>
      </w:r>
      <w:r w:rsidRPr="00D42E39">
        <w:rPr>
          <w:rFonts w:asciiTheme="minorBidi" w:hAnsiTheme="minorBidi" w:cs="Times New Roman"/>
        </w:rPr>
        <w:t xml:space="preserve">stains from becoming evident during menstruation </w:t>
      </w:r>
      <w:r w:rsidR="002B35B8" w:rsidRPr="00D42E39">
        <w:rPr>
          <w:rFonts w:asciiTheme="minorBidi" w:hAnsiTheme="minorBidi" w:cs="Times New Roman"/>
        </w:rPr>
        <w:t>with the</w:t>
      </w:r>
      <w:r w:rsidRPr="00D42E39">
        <w:rPr>
          <w:rFonts w:asciiTheme="minorBidi" w:hAnsiTheme="minorBidi" w:cs="Times New Roman"/>
        </w:rPr>
        <w:t xml:space="preserve"> options </w:t>
      </w:r>
      <w:r w:rsidR="002B35B8" w:rsidRPr="00D42E39">
        <w:rPr>
          <w:rFonts w:asciiTheme="minorBidi" w:hAnsiTheme="minorBidi" w:cs="Times New Roman"/>
        </w:rPr>
        <w:t>such as</w:t>
      </w:r>
      <w:r w:rsidRPr="00D42E39">
        <w:rPr>
          <w:rFonts w:asciiTheme="minorBidi" w:hAnsiTheme="minorBidi" w:cs="Times New Roman"/>
        </w:rPr>
        <w:t xml:space="preserve"> used clothes, sanitary napkins, locally prepared napkins, used nothing at all and any other method.  We have considered the use of sanitary napkin</w:t>
      </w:r>
      <w:r w:rsidR="0026632E">
        <w:rPr>
          <w:rFonts w:asciiTheme="minorBidi" w:hAnsiTheme="minorBidi" w:cs="Times New Roman"/>
        </w:rPr>
        <w:t>s</w:t>
      </w:r>
      <w:r w:rsidRPr="00D42E39">
        <w:rPr>
          <w:rFonts w:asciiTheme="minorBidi" w:hAnsiTheme="minorBidi" w:cs="Times New Roman"/>
        </w:rPr>
        <w:t xml:space="preserve"> and other locally made napkins as the hygienic method of practice during menstruation. A binary outcome variable (taking the value of one or zero) was computed from the different methods used by the respondents during menstruation, namely whether or not a woman used sanitary/locally prepared napkin during menstruation. </w:t>
      </w:r>
    </w:p>
    <w:p w14:paraId="6786FF19" w14:textId="77777777" w:rsidR="00D42E39" w:rsidRDefault="00D42E39" w:rsidP="00D42E39">
      <w:pPr>
        <w:spacing w:after="0" w:line="240" w:lineRule="auto"/>
        <w:ind w:firstLine="567"/>
        <w:jc w:val="both"/>
        <w:rPr>
          <w:rFonts w:asciiTheme="minorBidi" w:hAnsiTheme="minorBidi" w:cs="Times New Roman"/>
        </w:rPr>
      </w:pPr>
    </w:p>
    <w:p w14:paraId="5209D5A9" w14:textId="3D43595A" w:rsidR="002E66D2" w:rsidRPr="00D42E39" w:rsidRDefault="002E66D2" w:rsidP="00D42E39">
      <w:pPr>
        <w:spacing w:after="0" w:line="240" w:lineRule="auto"/>
        <w:ind w:firstLine="567"/>
        <w:jc w:val="both"/>
        <w:rPr>
          <w:rFonts w:asciiTheme="minorBidi" w:hAnsiTheme="minorBidi" w:cs="Times New Roman"/>
        </w:rPr>
      </w:pPr>
      <w:r w:rsidRPr="00D42E39">
        <w:rPr>
          <w:rFonts w:asciiTheme="minorBidi" w:hAnsiTheme="minorBidi" w:cs="Times New Roman"/>
        </w:rPr>
        <w:t>The socio-economic and demographic variables used are either continuous variables or dichotomized into disadvantageous and a</w:t>
      </w:r>
      <w:r w:rsidR="00B7318D">
        <w:rPr>
          <w:rFonts w:asciiTheme="minorBidi" w:hAnsiTheme="minorBidi" w:cs="Times New Roman"/>
        </w:rPr>
        <w:t xml:space="preserve">dvantageous groups. Independent </w:t>
      </w:r>
      <w:r w:rsidRPr="00D42E39">
        <w:rPr>
          <w:rFonts w:asciiTheme="minorBidi" w:hAnsiTheme="minorBidi" w:cs="Times New Roman"/>
        </w:rPr>
        <w:t xml:space="preserve">variables for decomposition analysis included age of the respondent, years of schooling of the respondent, economic status (poor/non-poor), </w:t>
      </w:r>
      <w:r w:rsidR="002B35B8" w:rsidRPr="00D42E39">
        <w:rPr>
          <w:rFonts w:asciiTheme="minorBidi" w:hAnsiTheme="minorBidi" w:cs="Times New Roman"/>
        </w:rPr>
        <w:t xml:space="preserve">following </w:t>
      </w:r>
      <w:r w:rsidRPr="00D42E39">
        <w:rPr>
          <w:rFonts w:asciiTheme="minorBidi" w:hAnsiTheme="minorBidi" w:cs="Times New Roman"/>
        </w:rPr>
        <w:t xml:space="preserve">Muslim religion (Muslim/Non-Muslim), </w:t>
      </w:r>
      <w:r w:rsidR="00D3332F" w:rsidRPr="00D42E39">
        <w:rPr>
          <w:rFonts w:asciiTheme="minorBidi" w:hAnsiTheme="minorBidi" w:cs="Times New Roman"/>
        </w:rPr>
        <w:t>belong to</w:t>
      </w:r>
      <w:r w:rsidRPr="00D42E39">
        <w:rPr>
          <w:rFonts w:asciiTheme="minorBidi" w:hAnsiTheme="minorBidi" w:cs="Times New Roman"/>
        </w:rPr>
        <w:t xml:space="preserve"> Scheduled </w:t>
      </w:r>
      <w:r w:rsidR="003A2C11">
        <w:rPr>
          <w:rFonts w:asciiTheme="minorBidi" w:hAnsiTheme="minorBidi" w:cs="Times New Roman"/>
        </w:rPr>
        <w:t>Caste-Scheduled Tribes (SC</w:t>
      </w:r>
      <w:r w:rsidR="0026632E">
        <w:rPr>
          <w:rFonts w:asciiTheme="minorBidi" w:hAnsiTheme="minorBidi" w:cs="Times New Roman"/>
        </w:rPr>
        <w:t>s</w:t>
      </w:r>
      <w:r w:rsidR="003A2C11">
        <w:rPr>
          <w:rFonts w:asciiTheme="minorBidi" w:hAnsiTheme="minorBidi" w:cs="Times New Roman"/>
        </w:rPr>
        <w:t>-STs/O</w:t>
      </w:r>
      <w:r w:rsidRPr="00D42E39">
        <w:rPr>
          <w:rFonts w:asciiTheme="minorBidi" w:hAnsiTheme="minorBidi" w:cs="Times New Roman"/>
        </w:rPr>
        <w:t>ther</w:t>
      </w:r>
      <w:r w:rsidR="0026632E">
        <w:rPr>
          <w:rFonts w:asciiTheme="minorBidi" w:hAnsiTheme="minorBidi" w:cs="Times New Roman"/>
        </w:rPr>
        <w:t>s</w:t>
      </w:r>
      <w:r w:rsidRPr="00D42E39">
        <w:rPr>
          <w:rFonts w:asciiTheme="minorBidi" w:hAnsiTheme="minorBidi" w:cs="Times New Roman"/>
        </w:rPr>
        <w:t xml:space="preserve">), </w:t>
      </w:r>
      <w:r w:rsidR="00D3332F" w:rsidRPr="00D42E39">
        <w:rPr>
          <w:rFonts w:asciiTheme="minorBidi" w:hAnsiTheme="minorBidi" w:cs="Times New Roman"/>
        </w:rPr>
        <w:t>hail from</w:t>
      </w:r>
      <w:r w:rsidRPr="00D42E39">
        <w:rPr>
          <w:rFonts w:asciiTheme="minorBidi" w:hAnsiTheme="minorBidi" w:cs="Times New Roman"/>
        </w:rPr>
        <w:t xml:space="preserve"> rural areas (rural/urban), did not work in </w:t>
      </w:r>
      <w:r w:rsidR="00D3332F" w:rsidRPr="00D42E39">
        <w:rPr>
          <w:rFonts w:asciiTheme="minorBidi" w:hAnsiTheme="minorBidi" w:cs="Times New Roman"/>
        </w:rPr>
        <w:t xml:space="preserve">the </w:t>
      </w:r>
      <w:r w:rsidR="003A2C11">
        <w:rPr>
          <w:rFonts w:asciiTheme="minorBidi" w:hAnsiTheme="minorBidi" w:cs="Times New Roman"/>
        </w:rPr>
        <w:t>last 12 months (worked/</w:t>
      </w:r>
      <w:r w:rsidRPr="00D42E39">
        <w:rPr>
          <w:rFonts w:asciiTheme="minorBidi" w:hAnsiTheme="minorBidi" w:cs="Times New Roman"/>
        </w:rPr>
        <w:t xml:space="preserve">did not work), </w:t>
      </w:r>
      <w:r w:rsidR="00D3332F" w:rsidRPr="00D42E39">
        <w:rPr>
          <w:rFonts w:asciiTheme="minorBidi" w:hAnsiTheme="minorBidi" w:cs="Times New Roman"/>
        </w:rPr>
        <w:t xml:space="preserve">never attended </w:t>
      </w:r>
      <w:r w:rsidRPr="00D42E39">
        <w:rPr>
          <w:rFonts w:asciiTheme="minorBidi" w:hAnsiTheme="minorBidi" w:cs="Times New Roman"/>
        </w:rPr>
        <w:t xml:space="preserve">family life/sex education (did not </w:t>
      </w:r>
      <w:r w:rsidR="00D3332F" w:rsidRPr="00D42E39">
        <w:rPr>
          <w:rFonts w:asciiTheme="minorBidi" w:hAnsiTheme="minorBidi" w:cs="Times New Roman"/>
        </w:rPr>
        <w:t>attend</w:t>
      </w:r>
      <w:r w:rsidRPr="00D42E39">
        <w:rPr>
          <w:rFonts w:asciiTheme="minorBidi" w:hAnsiTheme="minorBidi" w:cs="Times New Roman"/>
        </w:rPr>
        <w:t>/</w:t>
      </w:r>
      <w:r w:rsidR="00D3332F" w:rsidRPr="00D42E39">
        <w:rPr>
          <w:rFonts w:asciiTheme="minorBidi" w:hAnsiTheme="minorBidi" w:cs="Times New Roman"/>
        </w:rPr>
        <w:t>attend</w:t>
      </w:r>
      <w:r w:rsidRPr="00D42E39">
        <w:rPr>
          <w:rFonts w:asciiTheme="minorBidi" w:hAnsiTheme="minorBidi" w:cs="Times New Roman"/>
        </w:rPr>
        <w:t>), not aware about RTI/STI (unaware/aware), and unavailability of toilet facility (available/unavailable). Age and years of education of unmarried women were kept as continuous variables.</w:t>
      </w:r>
    </w:p>
    <w:p w14:paraId="1CB4EB24" w14:textId="77777777" w:rsidR="00D42E39" w:rsidRDefault="00D42E39" w:rsidP="00D42E39">
      <w:pPr>
        <w:spacing w:after="0" w:line="240" w:lineRule="auto"/>
        <w:ind w:firstLine="567"/>
        <w:jc w:val="both"/>
        <w:rPr>
          <w:rFonts w:asciiTheme="minorBidi" w:hAnsiTheme="minorBidi" w:cs="Times New Roman"/>
        </w:rPr>
      </w:pPr>
    </w:p>
    <w:p w14:paraId="5E569E0B" w14:textId="1E733C4A" w:rsidR="00D3332F" w:rsidRPr="00D42E39" w:rsidRDefault="002E66D2" w:rsidP="00D42E39">
      <w:pPr>
        <w:spacing w:after="0" w:line="240" w:lineRule="auto"/>
        <w:ind w:firstLine="567"/>
        <w:jc w:val="both"/>
        <w:rPr>
          <w:rFonts w:asciiTheme="minorBidi" w:hAnsiTheme="minorBidi" w:cs="Times New Roman"/>
        </w:rPr>
      </w:pPr>
      <w:r w:rsidRPr="00D42E39">
        <w:rPr>
          <w:rFonts w:asciiTheme="minorBidi" w:hAnsiTheme="minorBidi" w:cs="Times New Roman"/>
        </w:rPr>
        <w:t xml:space="preserve">An index of economic status was computed using household amenities, assets and consumer durables. The principle of factor loading to amenities, assets and durables derived by factor analysis was used for the computation of wealth index. Households were categorized from the poorest to the richest groups corresponding to the lowest to the highest quintiles at the national level.  The procedure to calculate wealth index was similar to the one followed in Demographic Health Surveys </w:t>
      </w:r>
      <w:r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"author" : [ { "dropping-particle" : "", "family" : "Rutstein", "given" : "Shea O", "non-dropping-particle" : "", "parse-names" : false, "suffix" : "" }, { "dropping-particle" : "", "family" : "Johnson", "given" : "Kiersten", "non-dropping-particle" : "", "parse-names" : false, "suffix" : "" } ], "id" : "ITEM-1", "issued" : { "date-parts" : [ [ "2004" ] ] }, "publisher-place" : "Maryland, USA", "title" : "The DHS Wealth Index", "type" : "report" }, "uris" : [ "http://www.mendeley.com/documents/?uuid=774f11fe-3295-4069-bce6-64de27710a88", "http://www.mendeley.com/documents/?uuid=2b3dc0cb-e12d-4d31-86f1-2458283af8fb" ] } ], "mendeley" : { "formattedCitation" : "(Rutstein &amp; Johnson, 2004)", "plainTextFormattedCitation" : "(Rutstein &amp; Johnson, 2004)", "previouslyFormattedCitation" : "(Rutstein and Johnson, 2004)" }, "properties" : { "noteIndex" : 0 }, "schema" : "https://github.com/citation-style-language/schema/raw/master/csl-citation.json" }</w:instrText>
      </w:r>
      <w:r w:rsidRPr="00D42E39">
        <w:rPr>
          <w:rFonts w:asciiTheme="minorBidi" w:hAnsiTheme="minorBidi" w:cs="Times New Roman"/>
        </w:rPr>
        <w:fldChar w:fldCharType="separate"/>
      </w:r>
      <w:r w:rsidR="00C313A9" w:rsidRPr="00D42E39">
        <w:rPr>
          <w:rFonts w:asciiTheme="minorBidi" w:hAnsiTheme="minorBidi" w:cs="Times New Roman"/>
          <w:noProof/>
        </w:rPr>
        <w:t>(Rutstein &amp; Johnson, 2004)</w:t>
      </w:r>
      <w:r w:rsidRPr="00D42E39">
        <w:rPr>
          <w:rFonts w:asciiTheme="minorBidi" w:hAnsiTheme="minorBidi" w:cs="Times New Roman"/>
        </w:rPr>
        <w:fldChar w:fldCharType="end"/>
      </w:r>
      <w:r w:rsidRPr="00D42E39">
        <w:rPr>
          <w:rFonts w:asciiTheme="minorBidi" w:hAnsiTheme="minorBidi" w:cs="Times New Roman"/>
        </w:rPr>
        <w:t xml:space="preserve">. The wealth quintile distribution was used to determine poor </w:t>
      </w:r>
      <w:r w:rsidR="00D3332F" w:rsidRPr="00D42E39">
        <w:rPr>
          <w:rFonts w:asciiTheme="minorBidi" w:hAnsiTheme="minorBidi" w:cs="Times New Roman"/>
        </w:rPr>
        <w:t xml:space="preserve">and </w:t>
      </w:r>
      <w:r w:rsidRPr="00D42E39">
        <w:rPr>
          <w:rFonts w:asciiTheme="minorBidi" w:hAnsiTheme="minorBidi" w:cs="Times New Roman"/>
        </w:rPr>
        <w:t xml:space="preserve">rich </w:t>
      </w:r>
      <w:r w:rsidRPr="00D42E39">
        <w:rPr>
          <w:rFonts w:asciiTheme="minorBidi" w:hAnsiTheme="minorBidi" w:cs="Times New Roman"/>
        </w:rPr>
        <w:lastRenderedPageBreak/>
        <w:t>household</w:t>
      </w:r>
      <w:r w:rsidR="0026632E">
        <w:rPr>
          <w:rFonts w:asciiTheme="minorBidi" w:hAnsiTheme="minorBidi" w:cs="Times New Roman"/>
        </w:rPr>
        <w:t>s</w:t>
      </w:r>
      <w:r w:rsidRPr="00D42E39">
        <w:rPr>
          <w:rFonts w:asciiTheme="minorBidi" w:hAnsiTheme="minorBidi" w:cs="Times New Roman"/>
        </w:rPr>
        <w:t xml:space="preserve"> and in the estimation of socio-economic inequalities in terms of concentration indices (CIs) for further modelling. The bottom two quintiles</w:t>
      </w:r>
      <w:r w:rsidR="0026632E">
        <w:rPr>
          <w:rFonts w:asciiTheme="minorBidi" w:hAnsiTheme="minorBidi" w:cs="Times New Roman"/>
        </w:rPr>
        <w:t>,</w:t>
      </w:r>
      <w:r w:rsidRPr="00D42E39">
        <w:rPr>
          <w:rFonts w:asciiTheme="minorBidi" w:hAnsiTheme="minorBidi" w:cs="Times New Roman"/>
        </w:rPr>
        <w:t xml:space="preserve"> i.e.</w:t>
      </w:r>
      <w:r w:rsidR="003A2C11">
        <w:rPr>
          <w:rFonts w:asciiTheme="minorBidi" w:hAnsiTheme="minorBidi" w:cs="Times New Roman"/>
        </w:rPr>
        <w:t>,</w:t>
      </w:r>
      <w:r w:rsidRPr="00D42E39">
        <w:rPr>
          <w:rFonts w:asciiTheme="minorBidi" w:hAnsiTheme="minorBidi" w:cs="Times New Roman"/>
        </w:rPr>
        <w:t xml:space="preserve"> poorest and poor were grouped as poor or economically poor and the top three quintiles</w:t>
      </w:r>
      <w:r w:rsidR="0026632E">
        <w:rPr>
          <w:rFonts w:asciiTheme="minorBidi" w:hAnsiTheme="minorBidi" w:cs="Times New Roman"/>
        </w:rPr>
        <w:t>,</w:t>
      </w:r>
      <w:r w:rsidRPr="00D42E39">
        <w:rPr>
          <w:rFonts w:asciiTheme="minorBidi" w:hAnsiTheme="minorBidi" w:cs="Times New Roman"/>
        </w:rPr>
        <w:t xml:space="preserve"> i.e.</w:t>
      </w:r>
      <w:r w:rsidR="003A2C11">
        <w:rPr>
          <w:rFonts w:asciiTheme="minorBidi" w:hAnsiTheme="minorBidi" w:cs="Times New Roman"/>
        </w:rPr>
        <w:t>,</w:t>
      </w:r>
      <w:r w:rsidRPr="00D42E39">
        <w:rPr>
          <w:rFonts w:asciiTheme="minorBidi" w:hAnsiTheme="minorBidi" w:cs="Times New Roman"/>
        </w:rPr>
        <w:t xml:space="preserve"> richest, rich and middle were grouped as non-poor.</w:t>
      </w:r>
      <w:r w:rsidR="00D3332F" w:rsidRPr="00D42E39">
        <w:rPr>
          <w:rFonts w:asciiTheme="minorBidi" w:hAnsiTheme="minorBidi" w:cs="Times New Roman"/>
        </w:rPr>
        <w:t xml:space="preserve"> The selection of independent variables w</w:t>
      </w:r>
      <w:r w:rsidR="0026632E">
        <w:rPr>
          <w:rFonts w:asciiTheme="minorBidi" w:hAnsiTheme="minorBidi" w:cs="Times New Roman"/>
        </w:rPr>
        <w:t xml:space="preserve">as </w:t>
      </w:r>
      <w:r w:rsidR="00D3332F" w:rsidRPr="00D42E39">
        <w:rPr>
          <w:rFonts w:asciiTheme="minorBidi" w:hAnsiTheme="minorBidi" w:cs="Times New Roman"/>
        </w:rPr>
        <w:t xml:space="preserve"> determined from the </w:t>
      </w:r>
      <w:r w:rsidRPr="00D42E39">
        <w:rPr>
          <w:rFonts w:asciiTheme="minorBidi" w:hAnsiTheme="minorBidi" w:cs="Times New Roman"/>
        </w:rPr>
        <w:t xml:space="preserve">existing literature </w:t>
      </w:r>
      <w:r w:rsidRPr="00D42E39">
        <w:rPr>
          <w:rFonts w:asciiTheme="minorBidi" w:hAnsiTheme="minorBidi" w:cs="Times New Roman"/>
        </w:rPr>
        <w:fldChar w:fldCharType="begin" w:fldLock="1"/>
      </w:r>
      <w:r w:rsidR="00C313A9" w:rsidRPr="00D42E39">
        <w:rPr>
          <w:rFonts w:asciiTheme="minorBidi" w:hAnsiTheme="minorBidi" w:cs="Times New Roman"/>
        </w:rPr>
        <w:instrText>ADDIN CSL_CITATION { "citationItems" : [ { "id" : "ITEM-1", "itemData" : { "author" : [ { "dropping-particle" : "", "family" : "Anand", "given" : "Enu", "non-dropping-particle" : "", "parse-names" : false, "suffix" : "" }, { "dropping-particle" : "", "family" : "Unisa", "given" : "Sayeed", "non-dropping-particle" : "", "parse-names" : false, "suffix" : "" }, { "dropping-particle" : "", "family" : "Singh", "given" : "Jayakant", "non-dropping-particle" : "", "parse-names" : false, "suffix" : "" } ], "container-title" : "Social Science Spectrum", "id" : "ITEM-1", "issue" : "1", "issued" : { "date-parts" : [ [ "2015" ] ] }, "page" : "20-31", "title" : "Menstrual Hygiene Management among Young Unmarried Women in India", "type" : "article-journal", "volume" : "1" }, "uris" : [ "http://www.mendeley.com/documents/?uuid=7caaf121-3911-4bbb-8102-b8792be3ee1c" ] }, { "id" : "ITEM-2", "itemData" : { "author" : [ { "dropping-particle" : "", "family" : "Mudey", "given" : "Abhay Bhausaheb", "non-dropping-particle" : "", "parse-names" : false, "suffix" : "" }, { "dropping-particle" : "", "family" : "Kesharwani", "given" : "Naveeta", "non-dropping-particle" : "", "parse-names" : false, "suffix" : "" }, { "dropping-particle" : "", "family" : "Mudey", "given" : "Gargi Abhay", "non-dropping-particle" : "", "parse-names" : false, "suffix" : "" }, { "dropping-particle" : "", "family" : "Goyal", "given" : "Ramchandra C.", "non-dropping-particle" : "", "parse-names" : false, "suffix" : "" } ], "container-title" : "Global Journal of Health Science", "id" : "ITEM-2", "issue" : "2", "issued" : { "date-parts" : [ [ "2010" ] ] }, "page" : "225-231", "title" : "A Cross-sectional Study on Awareness Regarding Safe and Hygienic Practices amongst School Going Adolescent Girls in Rural Area of Wardha District, India", "type" : "article-journal", "volume" : "2" }, "uris" : [ "http://www.mendeley.com/documents/?uuid=b1e3c5f8-6695-4a8f-9a14-1a8757a2757d" ] }, { "id" : "ITEM-3", "itemData" : { "ISSN" : "2248-9509", "abstract" : "Context: Adolescence in girls signifies the transition from girlhood to womanhood. Good menstrual hygiene is crucial for the health, education, and dignity of girls and women. This is an important sanitation issue which has long been in the closet and still there is a long standing need to openly discuss it. Aims:  1.  To elicit the knowledge and source of information regarding menstruation among the adolescent girl students.  2.  To find out the practices of menstrual hygiene among them. Settings and Design: Cross-Sectional study conducted in two randomly selected Inter colleges (one rural and one urban) of district Dehradun of Uttarakhand state. Methods and Material: 453 girls studying in 9th to 12th grades were interviewed by using a prestructured and pretested questionnaire. Statistical analysis used: percentages and Chi-square test Results: 64.5 % girls (71.1% Rural and 57% Urban) were aware about menstruation prior to the attainment of menarche. Awareness among rural girls was significantly more as compared to urban girls. Friends were the first informant in about 31.8 % girls. But the correct reason and source of bleeding during menstruation was not known to most of the respondents. Overall 38.4 % adolescent girls (48.1% Rural and 27.6% Urban) were using sanitary napkins as menstrual absorbent, while 30 % were using a new cloth/rag every time.  Conclusions: There is a need to educate the girls about menstruation, its importance and hygiene maintenance; so as to enable them to lead a healthy reproductive life in future.", "author" : [ { "dropping-particle" : "", "family" : "Juyal", "given" : "Ruchi", "non-dropping-particle" : "", "parse-names" : false, "suffix" : "" }, { "dropping-particle" : "", "family" : "Kandpal", "given" : "S D", "non-dropping-particle" : "", "parse-names" : false, "suffix" : "" }, { "dropping-particle" : "", "family" : "Semwal", "given" : "Jayanti", "non-dropping-particle" : "", "parse-names" : false, "suffix" : "" }, { "dropping-particle" : "", "family" : "Negi", "given" : "K S", "non-dropping-particle" : "", "parse-names" : false, "suffix" : "" } ], "container-title" : "Indian Journal of Community Health", "id" : "ITEM-3", "issue" : "2", "issued" : { "date-parts" : [ [ "2012", "7", "19" ] ] }, "language" : "en", "page" : "124-128", "title" : "PRACTICES OF MENSTRUAL HYGIENE AMONG ADOLESCENT GIRLS IN A DISTRICT OF UTTARAKHAND", "type" : "article", "volume" : "24" }, "uris" : [ "http://www.mendeley.com/documents/?uuid=92fa49a2-3428-4b03-8330-79f590b3653b" ] }, { "id" : "ITEM-4", "itemData" : { "DOI" : "10.1016/j.srhc.2015.06.001", "ISSN" : "18775756", "abstract" : "Objective: The objective was to explore the determinants of menstrual hygienic practices and its effect on Reproductive Tract Infections (RTI) among ever married women in India. Methods: District Level Household and Facility Survey-3 (DLHS) India data have been used in the study. The respondents constituted ever married women (N = 577,758) in the age group of 15-49. Bivariate and multivariate techniques were employed using IBM SPSS statistics 20. Individual effects of socio economic, demographic and gynecological factors on menstrual hygienic practices, RTIs and abnormal vaginal discharged respectively were calculated using binary logistic regression. Results: A meager 15% of women used sanitary pad/locally prepared napkins during menstruation in India. Both RTI and Vaginal discharge were positively related with non-use of hygienic methods. The women who used unhygienic method during menstruation were more likely to have any symptom of RTI (OR = 1.046, p &lt; 0.001, CI = 1.021-1.071) and vaginal discharge (OR = 1.303, p &lt; 0.001, CI = 1.266-1.341). Conclusion: The reason for the symptoms of RTI may be diverse and not only limited to the unhygienic menstrual practices although this may be one of the reasons causing reproductive morbidity. Awareness, affordability and privacy are some of the major concerns that need immediate attention to promote the use of sanitary pad during the time of menstruation. Establishing relation between menstrual practices and RTI is in its initial stage of investigation and hence needs further research.", "author" : [ { "dropping-particle" : "", "family" : "Anand", "given" : "Enu", "non-dropping-particle" : "", "parse-names" : false, "suffix" : "" }, { "dropping-particle" : "", "family" : "Singh", "given" : "Jayakant", "non-dropping-particle" : "", "parse-names" : false, "suffix" : "" }, { "dropping-particle" : "", "family" : "Unisa", "given" : "Sayeed", "non-dropping-particle" : "", "parse-names" : false, "suffix" : "" } ], "container-title" : "Sexual &amp; Reproductive Healthcare", "id" : "ITEM-4", "issue" : "4", "issued" : { "date-parts" : [ [ "2015" ] ] }, "page" : "249-254", "publisher" : "Elsevier B.V.", "title" : "Menstrual hygiene practices and its association with reproductive tract infections and abnormal vaginal discharge among women in India", "type" : "article-journal", "volume" : "6" }, "uris" : [ "http://www.mendeley.com/documents/?uuid=fb4795db-0170-45d9-875d-e9681a24169c" ] } ], "mendeley" : { "formattedCitation" : "(Anand, Singh, et al., 2015; Anand, Unisa, et al., 2015; Ruchi Juyal et al., 2012; Mudey et al., 2010)", "plainTextFormattedCitation" : "(Anand, Singh, et al., 2015; Anand, Unisa, et al., 2015; Ruchi Juyal et al., 2012; Mudey et al., 2010)", "previouslyFormattedCitation" : "(Anand et al., 2015a, 2015b; Juyal et al., 2012; Mudey et al., 2010)" }, "properties" : { "noteIndex" : 0 }, "schema" : "https://github.com/citation-style-language/schema/raw/master/csl-citation.json" }</w:instrText>
      </w:r>
      <w:r w:rsidRPr="00D42E39">
        <w:rPr>
          <w:rFonts w:asciiTheme="minorBidi" w:hAnsiTheme="minorBidi" w:cs="Times New Roman"/>
        </w:rPr>
        <w:fldChar w:fldCharType="separate"/>
      </w:r>
      <w:r w:rsidR="00C313A9" w:rsidRPr="00D42E39">
        <w:rPr>
          <w:rFonts w:asciiTheme="minorBidi" w:hAnsiTheme="minorBidi" w:cs="Times New Roman"/>
          <w:noProof/>
        </w:rPr>
        <w:t xml:space="preserve">(Anand, Singh, </w:t>
      </w:r>
      <w:r w:rsidR="003A2C11">
        <w:rPr>
          <w:rFonts w:asciiTheme="minorBidi" w:hAnsiTheme="minorBidi" w:cs="Times New Roman"/>
          <w:noProof/>
        </w:rPr>
        <w:t>&amp; Unisa</w:t>
      </w:r>
      <w:r w:rsidR="00C313A9" w:rsidRPr="00D42E39">
        <w:rPr>
          <w:rFonts w:asciiTheme="minorBidi" w:hAnsiTheme="minorBidi" w:cs="Times New Roman"/>
          <w:noProof/>
        </w:rPr>
        <w:t>, 2015</w:t>
      </w:r>
      <w:r w:rsidR="005704A0">
        <w:rPr>
          <w:rFonts w:asciiTheme="minorBidi" w:hAnsiTheme="minorBidi" w:cs="Times New Roman"/>
          <w:noProof/>
        </w:rPr>
        <w:t>b</w:t>
      </w:r>
      <w:r w:rsidR="00C313A9" w:rsidRPr="00D42E39">
        <w:rPr>
          <w:rFonts w:asciiTheme="minorBidi" w:hAnsiTheme="minorBidi" w:cs="Times New Roman"/>
          <w:noProof/>
        </w:rPr>
        <w:t xml:space="preserve">; Anand, Unisa, </w:t>
      </w:r>
      <w:r w:rsidR="003A2C11">
        <w:rPr>
          <w:rFonts w:asciiTheme="minorBidi" w:hAnsiTheme="minorBidi" w:cs="Times New Roman"/>
          <w:noProof/>
        </w:rPr>
        <w:t>&amp; Singh</w:t>
      </w:r>
      <w:r w:rsidR="00C313A9" w:rsidRPr="00D42E39">
        <w:rPr>
          <w:rFonts w:asciiTheme="minorBidi" w:hAnsiTheme="minorBidi" w:cs="Times New Roman"/>
          <w:noProof/>
        </w:rPr>
        <w:t>, 2015</w:t>
      </w:r>
      <w:r w:rsidR="005704A0">
        <w:rPr>
          <w:rFonts w:asciiTheme="minorBidi" w:hAnsiTheme="minorBidi" w:cs="Times New Roman"/>
          <w:noProof/>
        </w:rPr>
        <w:t>a</w:t>
      </w:r>
      <w:r w:rsidR="00C313A9" w:rsidRPr="00D42E39">
        <w:rPr>
          <w:rFonts w:asciiTheme="minorBidi" w:hAnsiTheme="minorBidi" w:cs="Times New Roman"/>
          <w:noProof/>
        </w:rPr>
        <w:t>; Juyal et al., 2012; Mudey et al., 2010)</w:t>
      </w:r>
      <w:r w:rsidRPr="00D42E39">
        <w:rPr>
          <w:rFonts w:asciiTheme="minorBidi" w:hAnsiTheme="minorBidi" w:cs="Times New Roman"/>
        </w:rPr>
        <w:fldChar w:fldCharType="end"/>
      </w:r>
      <w:r w:rsidR="00D3332F" w:rsidRPr="00D42E39">
        <w:rPr>
          <w:rFonts w:asciiTheme="minorBidi" w:hAnsiTheme="minorBidi" w:cs="Times New Roman"/>
        </w:rPr>
        <w:t>.</w:t>
      </w:r>
    </w:p>
    <w:p w14:paraId="26F9981F" w14:textId="77777777" w:rsidR="00D42E39" w:rsidRDefault="00D42E39" w:rsidP="00D42E39">
      <w:pPr>
        <w:spacing w:after="0" w:line="240" w:lineRule="auto"/>
        <w:jc w:val="both"/>
        <w:rPr>
          <w:rFonts w:asciiTheme="minorBidi" w:hAnsiTheme="minorBidi" w:cs="Times New Roman"/>
          <w:b/>
          <w:i/>
        </w:rPr>
      </w:pPr>
    </w:p>
    <w:p w14:paraId="3BF9EA2E" w14:textId="4F130026" w:rsidR="00D3332F" w:rsidRPr="00D42E39" w:rsidRDefault="00D3332F" w:rsidP="00D42E39">
      <w:pPr>
        <w:spacing w:after="0" w:line="240" w:lineRule="auto"/>
        <w:jc w:val="both"/>
        <w:rPr>
          <w:rFonts w:ascii="Times New Roman" w:hAnsi="Times New Roman" w:cs="Times New Roman"/>
        </w:rPr>
      </w:pPr>
      <w:r w:rsidRPr="00D42E39">
        <w:rPr>
          <w:rFonts w:ascii="Times New Roman" w:hAnsi="Times New Roman" w:cs="Times New Roman"/>
          <w:i/>
        </w:rPr>
        <w:t>Stati</w:t>
      </w:r>
      <w:r w:rsidR="00733A03" w:rsidRPr="00D42E39">
        <w:rPr>
          <w:rFonts w:ascii="Times New Roman" w:hAnsi="Times New Roman" w:cs="Times New Roman"/>
          <w:i/>
        </w:rPr>
        <w:t xml:space="preserve">stical analysis </w:t>
      </w:r>
    </w:p>
    <w:p w14:paraId="10B6756D" w14:textId="77777777" w:rsidR="00D42E39" w:rsidRPr="00D42E39" w:rsidRDefault="00D42E39" w:rsidP="00D42E39">
      <w:pPr>
        <w:spacing w:after="0" w:line="240" w:lineRule="auto"/>
        <w:ind w:firstLine="567"/>
        <w:jc w:val="both"/>
        <w:rPr>
          <w:rFonts w:ascii="Times New Roman" w:hAnsi="Times New Roman" w:cs="Times New Roman"/>
        </w:rPr>
      </w:pPr>
    </w:p>
    <w:p w14:paraId="7D99CCE9" w14:textId="04E324C8" w:rsidR="002E66D2" w:rsidRPr="00D42E39" w:rsidRDefault="002E66D2" w:rsidP="00D42E39">
      <w:pPr>
        <w:spacing w:after="0" w:line="240" w:lineRule="auto"/>
        <w:ind w:firstLine="567"/>
        <w:jc w:val="both"/>
        <w:rPr>
          <w:rFonts w:ascii="Times New Roman" w:hAnsi="Times New Roman" w:cs="Times New Roman"/>
        </w:rPr>
      </w:pPr>
      <w:r w:rsidRPr="00D42E39">
        <w:rPr>
          <w:rFonts w:ascii="Times New Roman" w:hAnsi="Times New Roman" w:cs="Times New Roman"/>
        </w:rPr>
        <w:t>The concentration index quantifies the degree of socio-economic related inequality in a health (or other) variable of interest. It has been used extensively in previous studies to measure and to compare the degree of socio</w:t>
      </w:r>
      <w:r w:rsidR="0026632E">
        <w:rPr>
          <w:rFonts w:ascii="Times New Roman" w:hAnsi="Times New Roman" w:cs="Times New Roman"/>
        </w:rPr>
        <w:t>-</w:t>
      </w:r>
      <w:r w:rsidRPr="00D42E39">
        <w:rPr>
          <w:rFonts w:ascii="Times New Roman" w:hAnsi="Times New Roman" w:cs="Times New Roman"/>
        </w:rPr>
        <w:t xml:space="preserve">economic inequality in child health </w:t>
      </w:r>
      <w:r w:rsidRPr="00D42E39">
        <w:rPr>
          <w:rFonts w:ascii="Times New Roman" w:hAnsi="Times New Roman" w:cs="Times New Roman"/>
        </w:rPr>
        <w:fldChar w:fldCharType="begin" w:fldLock="1"/>
      </w:r>
      <w:r w:rsidR="00C313A9" w:rsidRPr="00D42E39">
        <w:rPr>
          <w:rFonts w:ascii="Times New Roman" w:hAnsi="Times New Roman" w:cs="Times New Roman"/>
        </w:rPr>
        <w:instrText>ADDIN CSL_CITATION { "citationItems" : [ { "id" : "ITEM-1", "itemData" : { "DOI" : "10.1017/S0021932012000211", "ISBN" : "1469-7599", "ISSN" : "0021-9320", "PMID" : "22643297", "abstract" : "ABSTRACT Summary As India rapidly urbanizes, within urban areas socioeconomic disparities are rising and health inequality among urban children is an emerging challenge. This paper assesses the relative contribution of socioeconomic factors to child health inequalities between the less developed Empowered Action Group (EAG) states and more developed South Indian states in urban India using data from the 2005\u201306 National Family Health Survey. Focusing on urban health from varying regional and developmental contexts, socioeconomic inequalities in child health are examined first using Concentration Indices (CIs) and then the contributions of socioeconomic factors to the CIs of health variables are derived. The results reveal, in order of importance, pronounced contributions of household economic status, parent's illiteracy and caste to urban child health inequalities in the South Indian states. In contrast, parent's illiteracy, poor economic status, being Muslim and child birth order 3 or more are major contributors to health inequalities among urban children in the EAG states. The results suggest the need to adopt different health policy interventions in accordance with the pattern of varying contributions of socioeconomic factors to child health inequalities between the more developed South Indian states and less developed EAG states.", "author" : [ { "dropping-particle" : "", "family" : "Arokiasamy", "given" : "P", "non-dropping-particle" : "", "parse-names" : false, "suffix" : "" }, { "dropping-particle" : "", "family" : "Jain", "given" : "Kshipra", "non-dropping-particle" : "", "parse-names" : false, "suffix" : "" }, { "dropping-particle" : "", "family" : "Goli", "given" : "Srinivas", "non-dropping-particle" : "", "parse-names" : false, "suffix" : "" }, { "dropping-particle" : "", "family" : "Pradhan", "given" : "Jalandhar", "non-dropping-particle" : "", "parse-names" : false, "suffix" : "" } ], "container-title" : "J Biosoc Sci", "id" : "ITEM-1", "issue" : "02", "issued" : { "date-parts" : [ [ "2013" ] ] }, "page" : "167-185\\rM3 - 10.1017/S0021932012000211", "title" : "Health Inequalities Among Urban Children in India: a Comparative Assessment of Empowered Action Group (Eag) and South Indian States", "type" : "article-journal", "volume" : "45" }, "uris" : [ "http://www.mendeley.com/documents/?uuid=840a3631-2c45-4e91-a1c5-b2fb8a298d72", "http://www.mendeley.com/documents/?uuid=27c227d9-b919-475a-90ee-70d29d12562d" ] } ], "mendeley" : { "formattedCitation" : "(Arokiasamy, Jain, Goli, &amp; Pradhan, 2013)", "plainTextFormattedCitation" : "(Arokiasamy, Jain, Goli, &amp; Pradhan, 2013)", "previouslyFormattedCitation" : "(Arokiasamy et al., 2013)" }, "properties" : { "noteIndex" : 0 }, "schema" : "https://github.com/citation-style-language/schema/raw/master/csl-citation.json" }</w:instrText>
      </w:r>
      <w:r w:rsidRPr="00D42E39">
        <w:rPr>
          <w:rFonts w:ascii="Times New Roman" w:hAnsi="Times New Roman" w:cs="Times New Roman"/>
        </w:rPr>
        <w:fldChar w:fldCharType="separate"/>
      </w:r>
      <w:r w:rsidR="00C313A9" w:rsidRPr="00D42E39">
        <w:rPr>
          <w:rFonts w:ascii="Times New Roman" w:hAnsi="Times New Roman" w:cs="Times New Roman"/>
          <w:noProof/>
        </w:rPr>
        <w:t>(Arokiasamy, Jain, Goli, &amp; Pradhan, 2013)</w:t>
      </w:r>
      <w:r w:rsidRPr="00D42E39">
        <w:rPr>
          <w:rFonts w:ascii="Times New Roman" w:hAnsi="Times New Roman" w:cs="Times New Roman"/>
        </w:rPr>
        <w:fldChar w:fldCharType="end"/>
      </w:r>
      <w:r w:rsidRPr="00D42E39">
        <w:rPr>
          <w:rFonts w:ascii="Times New Roman" w:hAnsi="Times New Roman" w:cs="Times New Roman"/>
        </w:rPr>
        <w:t xml:space="preserve"> and survival </w:t>
      </w:r>
      <w:r w:rsidRPr="00D42E39">
        <w:rPr>
          <w:rFonts w:ascii="Times New Roman" w:hAnsi="Times New Roman" w:cs="Times New Roman"/>
        </w:rPr>
        <w:fldChar w:fldCharType="begin" w:fldLock="1"/>
      </w:r>
      <w:r w:rsidR="00C313A9" w:rsidRPr="00D42E39">
        <w:rPr>
          <w:rFonts w:ascii="Times New Roman" w:hAnsi="Times New Roman" w:cs="Times New Roman"/>
        </w:rPr>
        <w:instrText>ADDIN CSL_CITATION { "citationItems" : [ { "id" : "ITEM-1", "itemData" : { "DOI" : "10.1016/j.healthpol.2010.05.010", "ISSN" : "01688510", "author" : [ { "dropping-particle" : "", "family" : "Pradhan", "given" : "Jalandhar", "non-dropping-particle" : "", "parse-names" : false, "suffix" : "" }, { "dropping-particle" : "", "family" : "Arokiasamy", "given" : "Perianayagam", "non-dropping-particle" : "", "parse-names" : false, "suffix" : "" } ], "container-title" : "Health Policy", "id" : "ITEM-1", "issue" : "2-3", "issued" : { "date-parts" : [ [ "2010" ] ] }, "page" : "114-120", "title" : "Socio-economic inequalities in child survival in India: A decomposition analysis", "type" : "article-journal", "volume" : "98" }, "uris" : [ "http://www.mendeley.com/documents/?uuid=b909f17b-7603-4357-a042-5b982d134b76", "http://www.mendeley.com/documents/?uuid=1a507c77-208b-47d1-84e5-036d609c022a" ] } ], "mendeley" : { "formattedCitation" : "(Pradhan &amp; Arokiasamy, 2010)", "plainTextFormattedCitation" : "(Pradhan &amp; Arokiasamy, 2010)", "previouslyFormattedCitation" : "(Pradhan and Arokiasamy, 2010)" }, "properties" : { "noteIndex" : 0 }, "schema" : "https://github.com/citation-style-language/schema/raw/master/csl-citation.json" }</w:instrText>
      </w:r>
      <w:r w:rsidRPr="00D42E39">
        <w:rPr>
          <w:rFonts w:ascii="Times New Roman" w:hAnsi="Times New Roman" w:cs="Times New Roman"/>
        </w:rPr>
        <w:fldChar w:fldCharType="separate"/>
      </w:r>
      <w:r w:rsidR="00C313A9" w:rsidRPr="00D42E39">
        <w:rPr>
          <w:rFonts w:ascii="Times New Roman" w:hAnsi="Times New Roman" w:cs="Times New Roman"/>
          <w:noProof/>
        </w:rPr>
        <w:t>(Pradhan &amp; Arokiasamy, 2010)</w:t>
      </w:r>
      <w:r w:rsidRPr="00D42E39">
        <w:rPr>
          <w:rFonts w:ascii="Times New Roman" w:hAnsi="Times New Roman" w:cs="Times New Roman"/>
        </w:rPr>
        <w:fldChar w:fldCharType="end"/>
      </w:r>
      <w:r w:rsidRPr="00D42E39">
        <w:rPr>
          <w:rFonts w:ascii="Times New Roman" w:hAnsi="Times New Roman" w:cs="Times New Roman"/>
        </w:rPr>
        <w:t xml:space="preserve">, malnutrition </w:t>
      </w:r>
      <w:r w:rsidRPr="00D42E39">
        <w:rPr>
          <w:rFonts w:ascii="Times New Roman" w:hAnsi="Times New Roman" w:cs="Times New Roman"/>
        </w:rPr>
        <w:fldChar w:fldCharType="begin" w:fldLock="1"/>
      </w:r>
      <w:r w:rsidR="00C313A9" w:rsidRPr="00D42E39">
        <w:rPr>
          <w:rFonts w:ascii="Times New Roman" w:hAnsi="Times New Roman" w:cs="Times New Roman"/>
        </w:rPr>
        <w:instrText>ADDIN CSL_CITATION { "citationItems" : [ { "id" : "ITEM-1", "itemData" : { "author" : [ { "dropping-particle" : "", "family" : "Wagstaff", "given" : "Adam", "non-dropping-particle" : "", "parse-names" : false, "suffix" : "" }, { "dropping-particle" : "", "family" : "Watanabe", "given" : "Naoke", "non-dropping-particle" : "", "parse-names" : false, "suffix" : "" } ], "id" : "ITEM-1", "issued" : { "date-parts" : [ [ "1999", "11", "1" ] ] }, "title" : "Socioeconomic Inequalities in Child Malnutrition in the Developing World", "type" : "article-journal" }, "uris" : [ "http://www.mendeley.com/documents/?uuid=1cb8bdc3-76cc-4593-be23-1682653712ad", "http://www.mendeley.com/documents/?uuid=c1270abb-2510-4a27-8630-18257c7af442" ] } ], "mendeley" : { "formattedCitation" : "(Wagstaff &amp; Watanabe, 1999)", "plainTextFormattedCitation" : "(Wagstaff &amp; Watanabe, 1999)", "previouslyFormattedCitation" : "(Wagstaff and Watanabe, 1999)" }, "properties" : { "noteIndex" : 0 }, "schema" : "https://github.com/citation-style-language/schema/raw/master/csl-citation.json" }</w:instrText>
      </w:r>
      <w:r w:rsidRPr="00D42E39">
        <w:rPr>
          <w:rFonts w:ascii="Times New Roman" w:hAnsi="Times New Roman" w:cs="Times New Roman"/>
        </w:rPr>
        <w:fldChar w:fldCharType="separate"/>
      </w:r>
      <w:r w:rsidR="00C313A9" w:rsidRPr="00D42E39">
        <w:rPr>
          <w:rFonts w:ascii="Times New Roman" w:hAnsi="Times New Roman" w:cs="Times New Roman"/>
          <w:noProof/>
        </w:rPr>
        <w:t>(Wagstaff &amp; Watanabe, 1999)</w:t>
      </w:r>
      <w:r w:rsidRPr="00D42E39">
        <w:rPr>
          <w:rFonts w:ascii="Times New Roman" w:hAnsi="Times New Roman" w:cs="Times New Roman"/>
        </w:rPr>
        <w:fldChar w:fldCharType="end"/>
      </w:r>
      <w:r w:rsidRPr="00D42E39">
        <w:rPr>
          <w:rFonts w:ascii="Times New Roman" w:hAnsi="Times New Roman" w:cs="Times New Roman"/>
        </w:rPr>
        <w:t xml:space="preserve">, adult health </w:t>
      </w:r>
      <w:r w:rsidRPr="00D42E39">
        <w:rPr>
          <w:rFonts w:ascii="Times New Roman" w:hAnsi="Times New Roman" w:cs="Times New Roman"/>
        </w:rPr>
        <w:fldChar w:fldCharType="begin" w:fldLock="1"/>
      </w:r>
      <w:r w:rsidR="00C313A9" w:rsidRPr="00D42E39">
        <w:rPr>
          <w:rFonts w:ascii="Times New Roman" w:hAnsi="Times New Roman" w:cs="Times New Roman"/>
        </w:rPr>
        <w:instrText>ADDIN CSL_CITATION { "citationItems" : [ { "id" : "ITEM-1", "itemData" : { "DOI" : "10.1093/ije/dyl164", "ISBN" : "0300-5771", "ISSN" : "03005771", "PMID" : "16987848", "abstract" : "BACKGROUND: Although measuring socioeconomic inequality in population health indicators like infant mortality is important, more interesting for policy purposes is to try to explain infant mortality inequality. The objective of this paper is to quantify for the first time the determinants' contributions of socioeconomic inequality in infant mortality in Iran. METHODS: A nationally representative sample of 108 875 live births from October 1990 to September 1999 was selected. The data were taken from the Iranian Demographic and Health Survey (DHS) conducted in 2000. Households' socioeconomic status was measured using principal component analysis. The concentration index of infant mortality was used as our measure of socioeconomic inequality and decomposed into its determining factors. RESULTS: The largest contributions to inequality in infant mortality were owing to household economic status (36.2%) and mother's education (20.9%). Residency in rural/urban areas (13.9%), birth interval (13.0%), and hygienic status of toilet (11.9%) also proved important contributors to the measured inequality. CONCLUSIONS: The findings indicate that socioeconomic inequality in infant mortality in Iran is determined not only by health system functions but also by factors beyond the scope of health authorities and care delivery system. This implies that in addition to reducing inequalities in wealth and education, investments in water and sanitation infrastructure and programmes (especially in rural areas) are necessary to realize improvements of inequality in infant mortality across society. These findings can be instrumental for the recent 5 year Economic, Social and Cultural Development Plan of Iran, which identified the reduction of inequalities in social determinants of health.", "author" : [ { "dropping-particle" : "", "family" : "Hosseinpoor", "given" : "Ahmad Reza", "non-dropping-particle" : "", "parse-names" : false, "suffix" : "" }, { "dropping-particle" : "", "family" : "Doorslaer", "given" : "Eddy", "non-dropping-particle" : "Van", "parse-names" : false, "suffix" : "" }, { "dropping-particle" : "", "family" : "Speybroeck", "given" : "Niko", "non-dropping-particle" : "", "parse-names" : false, "suffix" : "" }, { "dropping-particle" : "", "family" : "Naghavi", "given" : "Mohsen", "non-dropping-particle" : "", "parse-names" : false, "suffix" : "" }, { "dropping-particle" : "", "family" : "Mohammad", "given" : "Kazem", "non-dropping-particle" : "", "parse-names" : false, "suffix" : "" }, { "dropping-particle" : "", "family" : "Majdzadeh", "given" : "Reza", "non-dropping-particle" : "", "parse-names" : false, "suffix" : "" }, { "dropping-particle" : "", "family" : "Delavar", "given" : "Bahram", "non-dropping-particle" : "", "parse-names" : false, "suffix" : "" }, { "dropping-particle" : "", "family" : "Jamshidi", "given" : "Hamidreza", "non-dropping-particle" : "", "parse-names" : false, "suffix" : "" }, { "dropping-particle" : "", "family" : "Vega", "given" : "Jeanette", "non-dropping-particle" : "", "parse-names" : false, "suffix" : "" } ], "container-title" : "International Journal of Epidemiology", "id" : "ITEM-1", "issue" : "September", "issued" : { "date-parts" : [ [ "2006" ] ] }, "page" : "1211-1219", "title" : "Decomposing socioeconomic inequality in infant mortality in Iran", "type" : "article-journal", "volume" : "35" }, "uris" : [ "http://www.mendeley.com/documents/?uuid=16cc4b36-b77f-43c8-85ed-31e839a032b3", "http://www.mendeley.com/documents/?uuid=2fe89ef2-5c99-41e2-b735-cd5cbbb6ac77" ] }, { "id" : "ITEM-2", "itemData" : { "abstract" : "Background: Few studies have assessed the extent and distribution of the blood-pressure burden worldwide. The aim of this study was to quantify the global burden of disease related to high blood pressure. Methods: Worldwide burden of disease attributable to high blood pressure (???115 mm Hg systolic) was estimated for groups according to age (???30 years), sex, and World Bank region in the year 2001. Population impact fractions were calculated with data for mean systolic blood pressure, burden of deaths and disability-adjusted life years (DALYs), and relative risk corrected for regression dilution bias. Findings: Worldwide, 7??6 million premature deaths (about 13??5% of the global total) and 92 million DALYs (6??0% of the global total) were attributed to high blood pressure. About 54% of stroke and 47% of ischaemic heart disease worldwide were attributable to high blood pressure. About half this burden was in people with hypertension; the remainder was in those with lesser degrees of high blood pressure. Overall, about 80% of the attributable burden occurred in low-income and middle-income economies, and over half occurred in people aged 45-69 years. Interpretation: Most of the disease burden caused by high blood pressure is borne by low-income and middle-income countries, by people in middle age, and by people with prehypertension. Prevention and treatment strategies restricted to individuals with hypertension will miss much blood-pressure-related disease. ?? 2008 Elsevier Ltd. All rights reserved.", "author" : [ { "dropping-particle" : "", "family" : "Lawes", "given" : "Carlene Mm", "non-dropping-particle" : "", "parse-names" : false, "suffix" : "" }, { "dropping-particle" : "Vander", "family" : "Hoorn", "given" : "Stephen", "non-dropping-particle" : "", "parse-names" : false, "suffix" : "" }, { "dropping-particle" : "", "family" : "Rodgers", "given" : "Anthony", "non-dropping-particle" : "", "parse-names" : false, "suffix" : "" } ], "container-title" : "The Lancet", "id" : "ITEM-2", "issue" : "9623", "issued" : { "date-parts" : [ [ "2008" ] ] }, "note" : "About a third of all deaths in middle-income countries are caused by cardiovascular disease; this proportion is similar to that in many developed nations.", "page" : "1513-1518", "title" : "Global burden of blood-pressure-related disease, 2001", "type" : "article-journal", "volume" : "371" }, "uris" : [ "http://www.mendeley.com/documents/?uuid=ff5e0d04-9f29-488c-8ca5-7df26b1ba77c", "http://www.mendeley.com/documents/?uuid=6f82f7d5-0f7a-4795-87ea-412390d6b4aa" ] } ], "mendeley" : { "formattedCitation" : "(Hosseinpoor et al., 2006; Lawes, Hoorn, &amp; Rodgers, 2008)", "plainTextFormattedCitation" : "(Hosseinpoor et al., 2006; Lawes, Hoorn, &amp; Rodgers, 2008)", "previouslyFormattedCitation" : "(Hosseinpoor et al., 2006; Lawes et al., 2008)" }, "properties" : { "noteIndex" : 0 }, "schema" : "https://github.com/citation-style-language/schema/raw/master/csl-citation.json" }</w:instrText>
      </w:r>
      <w:r w:rsidRPr="00D42E39">
        <w:rPr>
          <w:rFonts w:ascii="Times New Roman" w:hAnsi="Times New Roman" w:cs="Times New Roman"/>
        </w:rPr>
        <w:fldChar w:fldCharType="separate"/>
      </w:r>
      <w:r w:rsidR="00C313A9" w:rsidRPr="00D42E39">
        <w:rPr>
          <w:rFonts w:ascii="Times New Roman" w:hAnsi="Times New Roman" w:cs="Times New Roman"/>
          <w:noProof/>
        </w:rPr>
        <w:t>(Hosseinpoor et al., 2006; Lawes, Hoorn, &amp; Rodgers, 2008)</w:t>
      </w:r>
      <w:r w:rsidRPr="00D42E39">
        <w:rPr>
          <w:rFonts w:ascii="Times New Roman" w:hAnsi="Times New Roman" w:cs="Times New Roman"/>
        </w:rPr>
        <w:fldChar w:fldCharType="end"/>
      </w:r>
      <w:r w:rsidRPr="00D42E39">
        <w:rPr>
          <w:rFonts w:ascii="Times New Roman" w:hAnsi="Times New Roman" w:cs="Times New Roman"/>
        </w:rPr>
        <w:t xml:space="preserve">, maternal and child health utilization </w:t>
      </w:r>
      <w:r w:rsidRPr="00D42E39">
        <w:rPr>
          <w:rFonts w:ascii="Times New Roman" w:hAnsi="Times New Roman" w:cs="Times New Roman"/>
        </w:rPr>
        <w:fldChar w:fldCharType="begin" w:fldLock="1"/>
      </w:r>
      <w:r w:rsidR="00DC3B93" w:rsidRPr="00D42E39">
        <w:rPr>
          <w:rFonts w:ascii="Times New Roman" w:hAnsi="Times New Roman" w:cs="Times New Roman"/>
        </w:rPr>
        <w:instrText>ADDIN CSL_CITATION { "citationItems" : [ { "id" : "ITEM-1", "itemData" : { "DOI" : "10.1016/j.socscimed.2012.08.012", "ISSN" : "1873-5347", "PMID" : "22980028", "abstract" : "India experienced tremendous economic growth since the mid-1980s but this growth was paralleled by sharp rises in economic inequality. Urban areas experienced greater economic growth as well as greater increases in economic inequality than rural areas. During the same period, child health improved on average but socioeconomic differentials in child health persisted. This paper attempts to explain wealth-based inequalities in child mortality and malnutrition using a regression-based decomposition approach. Data for the analysis come from the 1992/93, 1998/99, and 2005/06 Indian National Family Health Surveys. Inequalities in child health are measured using the concentration index. The concentration index for each outcome is then decomposed into the contributions of wealth-based inequality in the observed determinants of child health. Results indicate that mortality inequality declined in urban areas but remained unchanged or increased in rural areas. Malnutrition inequality increased dramatically both in urban and rural areas. The two largest individual/household-level sources of disparities in child health are (i) inequality in the distribution of wealth itself, and (ii) inequality in maternal education. The contributions of observed determinants (i) to neonatal mortality inequality remained unchanged, (ii) to child mortality inequality increased, and (ii) to malnutrition inequality increased. It is possible that the increases in child health inequality reflect urban biases in economic growth, and the mixed performance of public programs that could have otherwise offset the impacts of unequal growth.", "author" : [ { "dropping-particle" : "", "family" : "Chalasani", "given" : "Satvika", "non-dropping-particle" : "", "parse-names" : false, "suffix" : "" } ], "container-title" : "Social science &amp; medicine (1982)", "id" : "ITEM-1", "issue" : "12", "issued" : { "date-parts" : [ [ "2012", "12" ] ] }, "page" : "2160-9", "title" : "Understanding wealth-based inequalities in child health in India: a decomposition approach.", "type" : "article-journal", "volume" : "75" }, "uris" : [ "http://www.mendeley.com/documents/?uuid=e99044db-cc20-4c06-9614-442798fae855", "http://www.mendeley.com/documents/?uuid=eac1a710-dfe7-4aa3-80a3-2bd3d990d32e" ] } ], "mendeley" : { "formattedCitation" : "(Chalasani, 2012)", "plainTextFormattedCitation" : "(Chalasani, 2012)", "previouslyFormattedCitation" : "(Chalasani, 2012)" }, "properties" : { "noteIndex" : 0 }, "schema" : "https://github.com/citation-style-language/schema/raw/master/csl-citation.json" }</w:instrText>
      </w:r>
      <w:r w:rsidRPr="00D42E39">
        <w:rPr>
          <w:rFonts w:ascii="Times New Roman" w:hAnsi="Times New Roman" w:cs="Times New Roman"/>
        </w:rPr>
        <w:fldChar w:fldCharType="separate"/>
      </w:r>
      <w:r w:rsidRPr="00D42E39">
        <w:rPr>
          <w:rFonts w:ascii="Times New Roman" w:hAnsi="Times New Roman" w:cs="Times New Roman"/>
          <w:noProof/>
        </w:rPr>
        <w:t>(Chalasani, 2012)</w:t>
      </w:r>
      <w:r w:rsidRPr="00D42E39">
        <w:rPr>
          <w:rFonts w:ascii="Times New Roman" w:hAnsi="Times New Roman" w:cs="Times New Roman"/>
        </w:rPr>
        <w:fldChar w:fldCharType="end"/>
      </w:r>
      <w:r w:rsidRPr="00D42E39">
        <w:rPr>
          <w:rFonts w:ascii="Times New Roman" w:hAnsi="Times New Roman" w:cs="Times New Roman"/>
        </w:rPr>
        <w:t xml:space="preserve"> contraceptive use </w:t>
      </w:r>
      <w:r w:rsidRPr="00D42E39">
        <w:rPr>
          <w:rFonts w:ascii="Times New Roman" w:hAnsi="Times New Roman" w:cs="Times New Roman"/>
        </w:rPr>
        <w:fldChar w:fldCharType="begin" w:fldLock="1"/>
      </w:r>
      <w:r w:rsidR="00C313A9" w:rsidRPr="00D42E39">
        <w:rPr>
          <w:rFonts w:ascii="Times New Roman" w:hAnsi="Times New Roman" w:cs="Times New Roman"/>
        </w:rPr>
        <w:instrText>ADDIN CSL_CITATION { "citationItems" : [ { "id" : "ITEM-1", "itemData" : { "author" : [ { "dropping-particle" : "", "family" : "Creanga", "given" : "Andreea A", "non-dropping-particle" : "", "parse-names" : false, "suffix" : "" }, { "dropping-particle" : "", "family" : "Gillespie", "given" : "Duff", "non-dropping-particle" : "", "parse-names" : false, "suffix" : "" }, { "dropping-particle" : "", "family" : "Karklins", "given" : "Sabrina", "non-dropping-particle" : "", "parse-names" : false, "suffix" : "" }, { "dropping-particle" : "", "family" : "Tsui", "given" : "Amy O", "non-dropping-particle" : "", "parse-names" : false, "suffix" : "" } ], "container-title" : "Bulletin of the World Health Organization", "id" : "ITEM-1", "issued" : { "date-parts" : [ [ "2011" ] ] }, "page" : "258-66", "publisher" : "World Health Organization", "title" : "WHO | Low use of contraception among poor women in Africa: an equity issue", "type" : "article-journal", "volume" : "89" }, "uris" : [ "http://www.mendeley.com/documents/?uuid=6ca051ac-c100-43f1-9724-d60213cf75ce", "http://www.mendeley.com/documents/?uuid=03e99f02-d2f2-4137-88e9-e6df37088aec" ] } ], "mendeley" : { "formattedCitation" : "(Creanga, Gillespie, Karklins, &amp; Tsui, 2011)", "plainTextFormattedCitation" : "(Creanga, Gillespie, Karklins, &amp; Tsui, 2011)", "previouslyFormattedCitation" : "(Creanga et al., 2011)" }, "properties" : { "noteIndex" : 0 }, "schema" : "https://github.com/citation-style-language/schema/raw/master/csl-citation.json" }</w:instrText>
      </w:r>
      <w:r w:rsidRPr="00D42E39">
        <w:rPr>
          <w:rFonts w:ascii="Times New Roman" w:hAnsi="Times New Roman" w:cs="Times New Roman"/>
        </w:rPr>
        <w:fldChar w:fldCharType="separate"/>
      </w:r>
      <w:r w:rsidR="00C313A9" w:rsidRPr="00D42E39">
        <w:rPr>
          <w:rFonts w:ascii="Times New Roman" w:hAnsi="Times New Roman" w:cs="Times New Roman"/>
          <w:noProof/>
        </w:rPr>
        <w:t>(Creanga, Gillespie, Karklins, &amp; Tsui, 2011)</w:t>
      </w:r>
      <w:r w:rsidRPr="00D42E39">
        <w:rPr>
          <w:rFonts w:ascii="Times New Roman" w:hAnsi="Times New Roman" w:cs="Times New Roman"/>
        </w:rPr>
        <w:fldChar w:fldCharType="end"/>
      </w:r>
      <w:r w:rsidRPr="00D42E39">
        <w:rPr>
          <w:rFonts w:ascii="Times New Roman" w:hAnsi="Times New Roman" w:cs="Times New Roman"/>
        </w:rPr>
        <w:t xml:space="preserve"> health care utilization </w:t>
      </w:r>
      <w:r w:rsidRPr="00D42E39">
        <w:rPr>
          <w:rFonts w:ascii="Times New Roman" w:hAnsi="Times New Roman" w:cs="Times New Roman"/>
        </w:rPr>
        <w:fldChar w:fldCharType="begin" w:fldLock="1"/>
      </w:r>
      <w:r w:rsidR="00DC3B93" w:rsidRPr="00D42E39">
        <w:rPr>
          <w:rFonts w:ascii="Times New Roman" w:hAnsi="Times New Roman" w:cs="Times New Roman"/>
        </w:rPr>
        <w:instrText>ADDIN CSL_CITATION { "citationItems" : [ { "id" : "ITEM-1", "itemData" : { "DOI" : "10.1016/S0167-6296(00)00050-3", "ISSN" : "01676296", "abstract" : "This paper presents a comparison of horizontal equity in health care utilization in 10 European countries and the US. It does not only extend previous work by using more recent data from a larger set of countries, but also uses new methods and presents disaggregated results by various types of care. In all countries, the lower-income groups are more intensive users of the health care system. But after indirect standardization for need differences, there is little or no evidence of significant inequity in the delivery of health care overall, though in half of the countries, significant pro-rich inequity emerges for physician contacts. This seems to be due mainly to a higher use of medical specialist services by higher-income groups and a higher use of GP care among lower-income groups. These findings appear to be fairly general and emerge in countries with very diverse characteristics regarding access and provider incentives.", "author" : [ { "dropping-particle" : "", "family" : "Doorslaer", "given" : "Eddy", "non-dropping-particle" : "Van", "parse-names" : false, "suffix" : "" }, { "dropping-particle" : "", "family" : "Wagstaff", "given" : "Adam", "non-dropping-particle" : "", "parse-names" : false, "suffix" : "" }, { "dropping-particle" : "", "family" : "Burg", "given" : "Hattem", "non-dropping-particle" : "Van der", "parse-names" : false, "suffix" : "" }, { "dropping-particle" : "", "family" : "Christiansen", "given" : "Terkel", "non-dropping-particle" : "", "parse-names" : false, "suffix" : "" }, { "dropping-particle" : "", "family" : "Graeve", "given" : "Diana", "non-dropping-particle" : "De", "parse-names" : false, "suffix" : "" }, { "dropping-particle" : "", "family" : "Duchesne", "given" : "Inge", "non-dropping-particle" : "", "parse-names" : false, "suffix" : "" }, { "dropping-particle" : "", "family" : "Gerdtham", "given" : "Ulf-G", "non-dropping-particle" : "", "parse-names" : false, "suffix" : "" }, { "dropping-particle" : "", "family" : "Gerfin", "given" : "Michael", "non-dropping-particle" : "", "parse-names" : false, "suffix" : "" }, { "dropping-particle" : "", "family" : "Geurts", "given" : "Jos\u00e9", "non-dropping-particle" : "", "parse-names" : false, "suffix" : "" }, { "dropping-particle" : "", "family" : "Gross", "given" : "Lorna", "non-dropping-particle" : "", "parse-names" : false, "suffix" : "" }, { "dropping-particle" : "", "family" : "H\u00e4kkinen", "given" : "Unto", "non-dropping-particle" : "", "parse-names" : false, "suffix" : "" }, { "dropping-particle" : "", "family" : "John", "given" : "J\u00fcrgen", "non-dropping-particle" : "", "parse-names" : false, "suffix" : "" }, { "dropping-particle" : "", "family" : "Klavus", "given" : "Jan", "non-dropping-particle" : "", "parse-names" : false, "suffix" : "" }, { "dropping-particle" : "", "family" : "Leu", "given" : "Robert E", "non-dropping-particle" : "", "parse-names" : false, "suffix" : "" }, { "dropping-particle" : "", "family" : "Nolan", "given" : "Brian", "non-dropping-particle" : "", "parse-names" : false, "suffix" : "" }, { "dropping-particle" : "", "family" : "O'Donnell", "given" : "Owen", "non-dropping-particle" : "", "parse-names" : false, "suffix" : "" }, { "dropping-particle" : "", "family" : "Propper", "given" : "Carol", "non-dropping-particle" : "", "parse-names" : false, "suffix" : "" }, { "dropping-particle" : "", "family" : "Puffer", "given" : "Frank", "non-dropping-particle" : "", "parse-names" : false, "suffix" : "" }, { "dropping-particle" : "", "family" : "Schellhorn", "given" : "Martin", "non-dropping-particle" : "", "parse-names" : false, "suffix" : "" }, { "dropping-particle" : "", "family" : "Sundberg", "given" : "Gun", "non-dropping-particle" : "", "parse-names" : false, "suffix" : "" }, { "dropping-particle" : "", "family" : "Winkelhake", "given" : "Olaf", "non-dropping-particle" : "", "parse-names" : false, "suffix" : "" } ], "container-title" : "Journal of Health Economics", "id" : "ITEM-1", "issue" : "5", "issued" : { "date-parts" : [ [ "2000", "9" ] ] }, "page" : "553-583", "title" : "Equity in the delivery of health care in Europe and the US", "type" : "article-journal", "volume" : "19" }, "uris" : [ "http://www.mendeley.com/documents/?uuid=18eea1e3-3ef5-4749-968c-6c576d67b194", "http://www.mendeley.com/documents/?uuid=362511dc-726e-431e-a64b-a19e0d18bce4" ] }, { "id" : "ITEM-2", "itemData" : { "DOI" : "10.1093/ije/dyl164", "ISBN" : "0300-5771", "ISSN" : "03005771", "PMID" : "16987848", "abstract" : "BACKGROUND: Although measuring socioeconomic inequality in population health indicators like infant mortality is important, more interesting for policy purposes is to try to explain infant mortality inequality. The objective of this paper is to quantify for the first time the determinants' contributions of socioeconomic inequality in infant mortality in Iran. METHODS: A nationally representative sample of 108 875 live births from October 1990 to September 1999 was selected. The data were taken from the Iranian Demographic and Health Survey (DHS) conducted in 2000. Households' socioeconomic status was measured using principal component analysis. The concentration index of infant mortality was used as our measure of socioeconomic inequality and decomposed into its determining factors. RESULTS: The largest contributions to inequality in infant mortality were owing to household economic status (36.2%) and mother's education (20.9%). Residency in rural/urban areas (13.9%), birth interval (13.0%), and hygienic status of toilet (11.9%) also proved important contributors to the measured inequality. CONCLUSIONS: The findings indicate that socioeconomic inequality in infant mortality in Iran is determined not only by health system functions but also by factors beyond the scope of health authorities and care delivery system. This implies that in addition to reducing inequalities in wealth and education, investments in water and sanitation infrastructure and programmes (especially in rural areas) are necessary to realize improvements of inequality in infant mortality across society. These findings can be instrumental for the recent 5 year Economic, Social and Cultural Development Plan of Iran, which identified the reduction of inequalities in social determinants of health.", "author" : [ { "dropping-particle" : "", "family" : "Hosseinpoor", "given" : "Ahmad Reza", "non-dropping-particle" : "", "parse-names" : false, "suffix" : "" }, { "dropping-particle" : "", "family" : "Doorslaer", "given" : "Eddy", "non-dropping-particle" : "Van", "parse-names" : false, "suffix" : "" }, { "dropping-particle" : "", "family" : "Speybroeck", "given" : "Niko", "non-dropping-particle" : "", "parse-names" : false, "suffix" : "" }, { "dropping-particle" : "", "family" : "Naghavi", "given" : "Mohsen", "non-dropping-particle" : "", "parse-names" : false, "suffix" : "" }, { "dropping-particle" : "", "family" : "Mohammad", "given" : "Kazem", "non-dropping-particle" : "", "parse-names" : false, "suffix" : "" }, { "dropping-particle" : "", "family" : "Majdzadeh", "given" : "Reza", "non-dropping-particle" : "", "parse-names" : false, "suffix" : "" }, { "dropping-particle" : "", "family" : "Delavar", "given" : "Bahram", "non-dropping-particle" : "", "parse-names" : false, "suffix" : "" }, { "dropping-particle" : "", "family" : "Jamshidi", "given" : "Hamidreza", "non-dropping-particle" : "", "parse-names" : false, "suffix" : "" }, { "dropping-particle" : "", "family" : "Vega", "given" : "Jeanette", "non-dropping-particle" : "", "parse-names" : false, "suffix" : "" } ], "container-title" : "International Journal of Epidemiology", "id" : "ITEM-2", "issue" : "September", "issued" : { "date-parts" : [ [ "2006" ] ] }, "page" : "1211-1219", "title" : "Decomposing socioeconomic inequality in infant mortality in Iran", "type" : "article-journal", "volume" : "35" }, "uris" : [ "http://www.mendeley.com/documents/?uuid=2fe89ef2-5c99-41e2-b735-cd5cbbb6ac77", "http://www.mendeley.com/documents/?uuid=16cc4b36-b77f-43c8-85ed-31e839a032b3" ] } ], "mendeley" : { "formattedCitation" : "(Hosseinpoor et al., 2006; Van Doorslaer et al., 2000)", "plainTextFormattedCitation" : "(Hosseinpoor et al., 2006; Van Doorslaer et al., 2000)", "previouslyFormattedCitation" : "(Hosseinpoor et al., 2006; Van Doorslaer et al., 2000)" }, "properties" : { "noteIndex" : 0 }, "schema" : "https://github.com/citation-style-language/schema/raw/master/csl-citation.json" }</w:instrText>
      </w:r>
      <w:r w:rsidRPr="00D42E39">
        <w:rPr>
          <w:rFonts w:ascii="Times New Roman" w:hAnsi="Times New Roman" w:cs="Times New Roman"/>
        </w:rPr>
        <w:fldChar w:fldCharType="separate"/>
      </w:r>
      <w:r w:rsidRPr="00D42E39">
        <w:rPr>
          <w:rFonts w:ascii="Times New Roman" w:hAnsi="Times New Roman" w:cs="Times New Roman"/>
          <w:noProof/>
        </w:rPr>
        <w:t>(Hosseinpoor et al., 2006; Van Doorslaer et al., 2000)</w:t>
      </w:r>
      <w:r w:rsidRPr="00D42E39">
        <w:rPr>
          <w:rFonts w:ascii="Times New Roman" w:hAnsi="Times New Roman" w:cs="Times New Roman"/>
        </w:rPr>
        <w:fldChar w:fldCharType="end"/>
      </w:r>
      <w:r w:rsidRPr="00D42E39">
        <w:rPr>
          <w:rFonts w:ascii="Times New Roman" w:hAnsi="Times New Roman" w:cs="Times New Roman"/>
        </w:rPr>
        <w:t xml:space="preserve"> etc. In this paper, we have used the concentration index </w:t>
      </w:r>
      <w:r w:rsidRPr="00D42E39">
        <w:rPr>
          <w:rFonts w:ascii="Times New Roman" w:hAnsi="Times New Roman" w:cs="Times New Roman"/>
        </w:rPr>
        <w:fldChar w:fldCharType="begin" w:fldLock="1"/>
      </w:r>
      <w:r w:rsidR="00C313A9" w:rsidRPr="00D42E39">
        <w:rPr>
          <w:rFonts w:ascii="Times New Roman" w:hAnsi="Times New Roman" w:cs="Times New Roman"/>
        </w:rPr>
        <w:instrText>ADDIN CSL_CITATION { "citationItems" : [ { "id" : "ITEM-1", "itemData" : { "DOI" : "10.2471/BLT.08.052357", "ISBN" : "9780821369333", "ISSN" : "00429686", "abstract" : "Equity has long been considered an important goal in the health sector. Yet inequalities\\nbetween the poor and the better-off persist. The poor tend to suffer higher\\nrates of mortality and morbidity than do the better-off. They often use health services\\nless, despite having higher levels of need. And, notwithstanding their lower\\nlevels of utilization, the poor often spend more on health care as a share of income\\nthan the better-off. Indeed, some nonpoor households may be made poor precisely\\nbecause of health shocks that necessitate out-of-pocket spending on health.\\nMost commentators accept that these inequalities refl ect mainly differences in\\nconstraints between the poor and the better-off - lower incomes, higher time costs,\\nless access to health insurance, living conditions that are more likely to encourage\\nthe spread of disease, and so on - rather than differences in preferences (cf. e.g.,\\nAlleyne et al. 2000; Braveman et al. 2001; Evans et al. 2001a; Le Grand 1987; Wagstaff\\n2001; Whitehead 1992). Such inequalities tend therefore to be seen not simply as\\ninequalities but as inequities (Wagstaff and van Doorslaer 2000).\\nSome commentators, including Nobel prize winners James Tobin (1970) and\\nAmartya Sen (2002), argue that inequalities in health are especially worrisome -\\nmore worrisome than inequalities in most other spheres. Health and health care\\nare integral to people\u2019s capability to function -their ability to fl ourish as human\\nbeings. As Sen puts it, \"Health is among the most important conditions of human\\nlife and a critically signifi cant constituent of human capabilities which we have reason\\nto value\" (Sen 2002). Society is not especially concerned that, say, ownership\\nof sports utility vehicles is low among the poor. But it is concerned that poor children\\nare systematically more likely to die before they reach their fi fth birthday and\\nthat the poor are systematically more likely to develop chronic illnesses. Inequalities\\nin out-of-pocket spending matter too, because if the poor - through no fault\\nof their own - are forced into spending large amounts of their limited incomes on\\nhealth care, they may well end up with insuffi cient resources to feed and shelter\\nthemselves.", "author" : [ { "dropping-particle" : "", "family" : "O'Donnell", "given" : "O", "non-dropping-particle" : "", "parse-names" : false, "suffix" : "" }, { "dropping-particle" : "Van", "family" : "Doorslaer", "given" : "E", "non-dropping-particle" : "", "parse-names" : false, "suffix" : "" } ], "container-title" : "\u2026 Health Equity Using \u2026", "id" : "ITEM-1", "issued" : { "date-parts" : [ [ "2008" ] ] }, "number-of-pages" : "1-12", "title" : "Analyzing Health Equity Using Household Survey Data,. Washington", "type" : "book" }, "uris" : [ "http://www.mendeley.com/documents/?uuid=2b39021d-1436-4600-9c61-88ea267f2bd1", "http://www.mendeley.com/documents/?uuid=8399eead-6fc2-466e-b619-c59ab42c871c" ] } ], "mendeley" : { "formattedCitation" : "(O\u2019Donnell &amp; Doorslaer, 2008)", "plainTextFormattedCitation" : "(O\u2019Donnell &amp; Doorslaer, 2008)", "previouslyFormattedCitation" : "(O\u2019Donnell and Doorslaer, 2008)" }, "properties" : { "noteIndex" : 0 }, "schema" : "https://github.com/citation-style-language/schema/raw/master/csl-citation.json" }</w:instrText>
      </w:r>
      <w:r w:rsidRPr="00D42E39">
        <w:rPr>
          <w:rFonts w:ascii="Times New Roman" w:hAnsi="Times New Roman" w:cs="Times New Roman"/>
        </w:rPr>
        <w:fldChar w:fldCharType="separate"/>
      </w:r>
      <w:r w:rsidR="00C313A9" w:rsidRPr="00D42E39">
        <w:rPr>
          <w:rFonts w:ascii="Times New Roman" w:hAnsi="Times New Roman" w:cs="Times New Roman"/>
          <w:noProof/>
        </w:rPr>
        <w:t>(O’Donnell &amp; Doorslaer, 2008)</w:t>
      </w:r>
      <w:r w:rsidRPr="00D42E39">
        <w:rPr>
          <w:rFonts w:ascii="Times New Roman" w:hAnsi="Times New Roman" w:cs="Times New Roman"/>
        </w:rPr>
        <w:fldChar w:fldCharType="end"/>
      </w:r>
      <w:r w:rsidRPr="00D42E39">
        <w:rPr>
          <w:rFonts w:ascii="Times New Roman" w:hAnsi="Times New Roman" w:cs="Times New Roman"/>
        </w:rPr>
        <w:t xml:space="preserve"> to measure socio-economic inequalities in the use of sanitary napkins among the adolescent and young women. The index value varies between -1 to +1. A concentration index of 0 indicates no income inequality, while more the index deviates from 0, the greater the magnitude of the wealth-related inequality. The larger the absolute value of concentration index, the more pronounced the inequality is. A negative concentration index indicates that the favourable condition or the use of </w:t>
      </w:r>
      <w:r w:rsidR="0026632E">
        <w:rPr>
          <w:rFonts w:ascii="Times New Roman" w:hAnsi="Times New Roman" w:cs="Times New Roman"/>
        </w:rPr>
        <w:t xml:space="preserve">a </w:t>
      </w:r>
      <w:r w:rsidRPr="00D42E39">
        <w:rPr>
          <w:rFonts w:ascii="Times New Roman" w:hAnsi="Times New Roman" w:cs="Times New Roman"/>
        </w:rPr>
        <w:t>sanitary napkin is concentrated among the poor</w:t>
      </w:r>
      <w:r w:rsidR="0026632E">
        <w:rPr>
          <w:rFonts w:ascii="Times New Roman" w:hAnsi="Times New Roman" w:cs="Times New Roman"/>
        </w:rPr>
        <w:t>,</w:t>
      </w:r>
      <w:r w:rsidRPr="00D42E39">
        <w:rPr>
          <w:rFonts w:ascii="Times New Roman" w:hAnsi="Times New Roman" w:cs="Times New Roman"/>
        </w:rPr>
        <w:t xml:space="preserve"> while a positive index suggests a favourable condition</w:t>
      </w:r>
      <w:r w:rsidR="0026632E">
        <w:rPr>
          <w:rFonts w:ascii="Times New Roman" w:hAnsi="Times New Roman" w:cs="Times New Roman"/>
        </w:rPr>
        <w:t>,</w:t>
      </w:r>
      <w:r w:rsidRPr="00D42E39">
        <w:rPr>
          <w:rFonts w:ascii="Times New Roman" w:hAnsi="Times New Roman" w:cs="Times New Roman"/>
        </w:rPr>
        <w:t xml:space="preserve"> i.e.</w:t>
      </w:r>
      <w:r w:rsidR="0026632E">
        <w:rPr>
          <w:rFonts w:ascii="Times New Roman" w:hAnsi="Times New Roman" w:cs="Times New Roman"/>
        </w:rPr>
        <w:t>,</w:t>
      </w:r>
      <w:r w:rsidRPr="00D42E39">
        <w:rPr>
          <w:rFonts w:ascii="Times New Roman" w:hAnsi="Times New Roman" w:cs="Times New Roman"/>
        </w:rPr>
        <w:t xml:space="preserve"> the use of </w:t>
      </w:r>
      <w:r w:rsidR="0026632E">
        <w:rPr>
          <w:rFonts w:ascii="Times New Roman" w:hAnsi="Times New Roman" w:cs="Times New Roman"/>
        </w:rPr>
        <w:t xml:space="preserve">a </w:t>
      </w:r>
      <w:r w:rsidRPr="00D42E39">
        <w:rPr>
          <w:rFonts w:ascii="Times New Roman" w:hAnsi="Times New Roman" w:cs="Times New Roman"/>
        </w:rPr>
        <w:t xml:space="preserve">sanitary napkin is concentrated among the rich.  </w:t>
      </w:r>
    </w:p>
    <w:p w14:paraId="459EE8A1" w14:textId="77777777" w:rsidR="00D42E39" w:rsidRDefault="00D42E39" w:rsidP="00D42E39">
      <w:pPr>
        <w:spacing w:after="0" w:line="240" w:lineRule="auto"/>
        <w:ind w:firstLine="567"/>
        <w:jc w:val="both"/>
        <w:rPr>
          <w:rFonts w:ascii="Times New Roman" w:hAnsi="Times New Roman" w:cs="Times New Roman"/>
        </w:rPr>
      </w:pPr>
    </w:p>
    <w:p w14:paraId="1056FD8F" w14:textId="6D0E45CC" w:rsidR="002E66D2" w:rsidRDefault="002E66D2" w:rsidP="00D42E39">
      <w:pPr>
        <w:spacing w:after="0" w:line="240" w:lineRule="auto"/>
        <w:ind w:firstLine="567"/>
        <w:jc w:val="both"/>
        <w:rPr>
          <w:rFonts w:ascii="Times New Roman" w:hAnsi="Times New Roman" w:cs="Times New Roman"/>
        </w:rPr>
      </w:pPr>
      <w:r w:rsidRPr="00D42E39">
        <w:rPr>
          <w:rFonts w:ascii="Times New Roman" w:hAnsi="Times New Roman" w:cs="Times New Roman"/>
        </w:rPr>
        <w:t xml:space="preserve">The concentration index can be defined in terms of covariance between the health variable and the fractional rank in the living standards distribution. </w:t>
      </w:r>
      <w:r w:rsidRPr="00D42E39">
        <w:rPr>
          <w:rFonts w:ascii="Times New Roman" w:hAnsi="Times New Roman" w:cs="Times New Roman"/>
        </w:rPr>
        <w:fldChar w:fldCharType="begin" w:fldLock="1"/>
      </w:r>
      <w:r w:rsidR="00C313A9" w:rsidRPr="00D42E39">
        <w:rPr>
          <w:rFonts w:ascii="Times New Roman" w:hAnsi="Times New Roman" w:cs="Times New Roman"/>
        </w:rPr>
        <w:instrText>ADDIN CSL_CITATION { "citationItems" : [ { "id" : "ITEM-1", "itemData" : { "DOI" : "10.2471/BLT.08.052357", "ISBN" : "9780821369333", "ISSN" : "00429686", "abstract" : "Equity has long been considered an important goal in the health sector. Yet inequalities\\nbetween the poor and the better-off persist. The poor tend to suffer higher\\nrates of mortality and morbidity than do the better-off. They often use health services\\nless, despite having higher levels of need. And, notwithstanding their lower\\nlevels of utilization, the poor often spend more on health care as a share of income\\nthan the better-off. Indeed, some nonpoor households may be made poor precisely\\nbecause of health shocks that necessitate out-of-pocket spending on health.\\nMost commentators accept that these inequalities refl ect mainly differences in\\nconstraints between the poor and the better-off - lower incomes, higher time costs,\\nless access to health insurance, living conditions that are more likely to encourage\\nthe spread of disease, and so on - rather than differences in preferences (cf. e.g.,\\nAlleyne et al. 2000; Braveman et al. 2001; Evans et al. 2001a; Le Grand 1987; Wagstaff\\n2001; Whitehead 1992). Such inequalities tend therefore to be seen not simply as\\ninequalities but as inequities (Wagstaff and van Doorslaer 2000).\\nSome commentators, including Nobel prize winners James Tobin (1970) and\\nAmartya Sen (2002), argue that inequalities in health are especially worrisome -\\nmore worrisome than inequalities in most other spheres. Health and health care\\nare integral to people\u2019s capability to function -their ability to fl ourish as human\\nbeings. As Sen puts it, \"Health is among the most important conditions of human\\nlife and a critically signifi cant constituent of human capabilities which we have reason\\nto value\" (Sen 2002). Society is not especially concerned that, say, ownership\\nof sports utility vehicles is low among the poor. But it is concerned that poor children\\nare systematically more likely to die before they reach their fi fth birthday and\\nthat the poor are systematically more likely to develop chronic illnesses. Inequalities\\nin out-of-pocket spending matter too, because if the poor - through no fault\\nof their own - are forced into spending large amounts of their limited incomes on\\nhealth care, they may well end up with insuffi cient resources to feed and shelter\\nthemselves.", "author" : [ { "dropping-particle" : "", "family" : "O'Donnell", "given" : "O", "non-dropping-particle" : "", "parse-names" : false, "suffix" : "" }, { "dropping-particle" : "Van", "family" : "Doorslaer", "given" : "E", "non-dropping-particle" : "", "parse-names" : false, "suffix" : "" } ], "container-title" : "\u2026 Health Equity Using \u2026", "id" : "ITEM-1", "issued" : { "date-parts" : [ [ "2008" ] ] }, "number-of-pages" : "1-12", "title" : "Analyzing Health Equity Using Household Survey Data,. Washington", "type" : "book" }, "uris" : [ "http://www.mendeley.com/documents/?uuid=8399eead-6fc2-466e-b619-c59ab42c871c", "http://www.mendeley.com/documents/?uuid=2b39021d-1436-4600-9c61-88ea267f2bd1" ] } ], "mendeley" : { "formattedCitation" : "(O\u2019Donnell &amp; Doorslaer, 2008)", "plainTextFormattedCitation" : "(O\u2019Donnell &amp; Doorslaer, 2008)", "previouslyFormattedCitation" : "(O\u2019Donnell and Doorslaer, 2008)" }, "properties" : { "noteIndex" : 0 }, "schema" : "https://github.com/citation-style-language/schema/raw/master/csl-citation.json" }</w:instrText>
      </w:r>
      <w:r w:rsidRPr="00D42E39">
        <w:rPr>
          <w:rFonts w:ascii="Times New Roman" w:hAnsi="Times New Roman" w:cs="Times New Roman"/>
        </w:rPr>
        <w:fldChar w:fldCharType="separate"/>
      </w:r>
      <w:r w:rsidR="00C313A9" w:rsidRPr="00D42E39">
        <w:rPr>
          <w:rFonts w:ascii="Times New Roman" w:hAnsi="Times New Roman" w:cs="Times New Roman"/>
          <w:noProof/>
        </w:rPr>
        <w:t>(O’Donnell &amp; Doorslaer, 2008)</w:t>
      </w:r>
      <w:r w:rsidRPr="00D42E39">
        <w:rPr>
          <w:rFonts w:ascii="Times New Roman" w:hAnsi="Times New Roman" w:cs="Times New Roman"/>
        </w:rPr>
        <w:fldChar w:fldCharType="end"/>
      </w:r>
      <w:r w:rsidRPr="00D42E39">
        <w:rPr>
          <w:rFonts w:ascii="Times New Roman" w:hAnsi="Times New Roman" w:cs="Times New Roman"/>
        </w:rPr>
        <w:t xml:space="preserve">. </w:t>
      </w:r>
    </w:p>
    <w:p w14:paraId="18DF34B3" w14:textId="77777777" w:rsidR="00D42E39" w:rsidRPr="00D42E39" w:rsidRDefault="00D42E39" w:rsidP="00D42E39">
      <w:pPr>
        <w:spacing w:after="0" w:line="240" w:lineRule="auto"/>
        <w:ind w:firstLine="567"/>
        <w:jc w:val="both"/>
        <w:rPr>
          <w:rFonts w:ascii="Times New Roman" w:hAnsi="Times New Roman" w:cs="Times New Roman"/>
        </w:rPr>
      </w:pPr>
    </w:p>
    <w:p w14:paraId="744A149D" w14:textId="77777777" w:rsidR="002E66D2" w:rsidRPr="00D42E39" w:rsidRDefault="002E66D2" w:rsidP="00D42E39">
      <w:pPr>
        <w:spacing w:after="0" w:line="240" w:lineRule="auto"/>
        <w:ind w:firstLine="567"/>
        <w:jc w:val="center"/>
        <w:rPr>
          <w:rFonts w:ascii="Times New Roman" w:eastAsiaTheme="minorEastAsia" w:hAnsi="Times New Roman" w:cs="Times New Roman"/>
        </w:rPr>
      </w:pPr>
      <w:r w:rsidRPr="00D42E39">
        <w:rPr>
          <w:rFonts w:ascii="Times New Roman" w:hAnsi="Times New Roman" w:cs="Times New Roman"/>
        </w:rPr>
        <w:t xml:space="preserve">         </w:t>
      </w:r>
      <m:oMath>
        <m:r>
          <w:rPr>
            <w:rFonts w:ascii="Cambria Math" w:hAnsi="Cambria Math" w:cs="Times New Roman"/>
          </w:rPr>
          <m:t>C=</m:t>
        </m:r>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μ</m:t>
            </m:r>
          </m:den>
        </m:f>
      </m:oMath>
      <w:r w:rsidRPr="00D42E39">
        <w:rPr>
          <w:rFonts w:ascii="Times New Roman" w:eastAsiaTheme="minorEastAsia" w:hAnsi="Times New Roman" w:cs="Times New Roman"/>
        </w:rPr>
        <w:t xml:space="preserve"> cov (h,r)              (1.1)</w:t>
      </w:r>
    </w:p>
    <w:p w14:paraId="04E78244" w14:textId="77777777" w:rsidR="00D42E39" w:rsidRDefault="00D42E39" w:rsidP="00D42E39">
      <w:pPr>
        <w:spacing w:after="0" w:line="240" w:lineRule="auto"/>
        <w:ind w:firstLine="567"/>
        <w:jc w:val="both"/>
        <w:rPr>
          <w:rFonts w:ascii="Times New Roman" w:eastAsiaTheme="minorEastAsia" w:hAnsi="Times New Roman" w:cs="Times New Roman"/>
        </w:rPr>
      </w:pPr>
    </w:p>
    <w:p w14:paraId="5905B7AE" w14:textId="35D169D2" w:rsidR="002E66D2" w:rsidRPr="00D42E39" w:rsidRDefault="002E66D2" w:rsidP="00D42E39">
      <w:pPr>
        <w:spacing w:after="0" w:line="240" w:lineRule="auto"/>
        <w:ind w:firstLine="567"/>
        <w:jc w:val="both"/>
        <w:rPr>
          <w:rFonts w:ascii="Times New Roman" w:eastAsiaTheme="minorEastAsia" w:hAnsi="Times New Roman" w:cs="Times New Roman"/>
        </w:rPr>
      </w:pPr>
      <w:r w:rsidRPr="00D42E39">
        <w:rPr>
          <w:rFonts w:ascii="Times New Roman" w:eastAsiaTheme="minorEastAsia" w:hAnsi="Times New Roman" w:cs="Times New Roman"/>
        </w:rPr>
        <w:t xml:space="preserve">Where h is the health </w:t>
      </w:r>
      <w:r w:rsidRPr="00D42E39">
        <w:rPr>
          <w:rFonts w:ascii="Times New Roman" w:hAnsi="Times New Roman" w:cs="Times New Roman"/>
        </w:rPr>
        <w:t>(or other) variable of interest</w:t>
      </w:r>
      <w:r w:rsidR="0026632E">
        <w:rPr>
          <w:rFonts w:ascii="Times New Roman" w:hAnsi="Times New Roman" w:cs="Times New Roman"/>
        </w:rPr>
        <w:t>,</w:t>
      </w:r>
      <w:r w:rsidRPr="00D42E39">
        <w:rPr>
          <w:rFonts w:ascii="Times New Roman" w:eastAsiaTheme="minorEastAsia" w:hAnsi="Times New Roman" w:cs="Times New Roman"/>
        </w:rPr>
        <w:t xml:space="preserve"> i.e.</w:t>
      </w:r>
      <w:r w:rsidR="0026632E">
        <w:rPr>
          <w:rFonts w:ascii="Times New Roman" w:eastAsiaTheme="minorEastAsia" w:hAnsi="Times New Roman" w:cs="Times New Roman"/>
        </w:rPr>
        <w:t>,</w:t>
      </w:r>
      <w:r w:rsidRPr="00D42E39">
        <w:rPr>
          <w:rFonts w:ascii="Times New Roman" w:eastAsiaTheme="minorEastAsia" w:hAnsi="Times New Roman" w:cs="Times New Roman"/>
        </w:rPr>
        <w:t xml:space="preserve"> sanitary napkin use by the </w:t>
      </w:r>
      <m:oMath>
        <m:sSup>
          <m:sSupPr>
            <m:ctrlPr>
              <w:rPr>
                <w:rFonts w:ascii="Cambria Math" w:eastAsiaTheme="minorEastAsia" w:hAnsi="Cambria Math" w:cs="Times New Roman"/>
                <w:i/>
              </w:rPr>
            </m:ctrlPr>
          </m:sSupPr>
          <m:e>
            <m:r>
              <w:rPr>
                <w:rFonts w:ascii="Cambria Math" w:eastAsiaTheme="minorEastAsia" w:hAnsi="Cambria Math" w:cs="Times New Roman"/>
              </w:rPr>
              <m:t>i</m:t>
            </m:r>
          </m:e>
          <m:sup>
            <m:r>
              <w:rPr>
                <w:rFonts w:ascii="Cambria Math" w:eastAsiaTheme="minorEastAsia" w:hAnsi="Cambria Math" w:cs="Times New Roman"/>
              </w:rPr>
              <m:t>th</m:t>
            </m:r>
          </m:sup>
        </m:sSup>
      </m:oMath>
      <w:r w:rsidRPr="00D42E39">
        <w:rPr>
          <w:rFonts w:ascii="Times New Roman" w:eastAsiaTheme="minorEastAsia" w:hAnsi="Times New Roman" w:cs="Times New Roman"/>
        </w:rPr>
        <w:t xml:space="preserve"> individual, r is the fractional rank in terms of household economic status and </w:t>
      </w:r>
      <m:oMath>
        <m:r>
          <w:rPr>
            <w:rFonts w:ascii="Cambria Math" w:hAnsi="Cambria Math" w:cs="Times New Roman"/>
          </w:rPr>
          <m:t>μ</m:t>
        </m:r>
      </m:oMath>
      <w:r w:rsidRPr="00D42E39">
        <w:rPr>
          <w:rFonts w:ascii="Times New Roman" w:eastAsiaTheme="minorEastAsia" w:hAnsi="Times New Roman" w:cs="Times New Roman"/>
        </w:rPr>
        <w:t xml:space="preserve"> is the mean of the health utilization variable and cov denotes the covariance. </w:t>
      </w:r>
    </w:p>
    <w:p w14:paraId="7411DC60" w14:textId="77777777" w:rsidR="00D42E39" w:rsidRDefault="00D42E39" w:rsidP="00D42E39">
      <w:pPr>
        <w:spacing w:after="0" w:line="240" w:lineRule="auto"/>
        <w:ind w:firstLine="567"/>
        <w:jc w:val="both"/>
        <w:rPr>
          <w:rFonts w:ascii="Times New Roman" w:eastAsiaTheme="minorEastAsia" w:hAnsi="Times New Roman" w:cs="Times New Roman"/>
        </w:rPr>
      </w:pPr>
    </w:p>
    <w:p w14:paraId="4B6476BC" w14:textId="13B87737" w:rsidR="002E66D2" w:rsidRPr="00D42E39" w:rsidRDefault="002E66D2" w:rsidP="00D42E39">
      <w:pPr>
        <w:spacing w:after="0" w:line="240" w:lineRule="auto"/>
        <w:ind w:firstLine="567"/>
        <w:jc w:val="both"/>
        <w:rPr>
          <w:rFonts w:ascii="Times New Roman" w:eastAsiaTheme="minorEastAsia" w:hAnsi="Times New Roman" w:cs="Times New Roman"/>
        </w:rPr>
      </w:pPr>
      <w:r w:rsidRPr="00D42E39">
        <w:rPr>
          <w:rFonts w:ascii="Times New Roman" w:eastAsiaTheme="minorEastAsia" w:hAnsi="Times New Roman" w:cs="Times New Roman"/>
        </w:rPr>
        <w:t>Inequalities across the income distribution or socio</w:t>
      </w:r>
      <w:r w:rsidR="00394557">
        <w:rPr>
          <w:rFonts w:ascii="Times New Roman" w:eastAsiaTheme="minorEastAsia" w:hAnsi="Times New Roman" w:cs="Times New Roman"/>
        </w:rPr>
        <w:t>-</w:t>
      </w:r>
      <w:r w:rsidRPr="00D42E39">
        <w:rPr>
          <w:rFonts w:ascii="Times New Roman" w:eastAsiaTheme="minorEastAsia" w:hAnsi="Times New Roman" w:cs="Times New Roman"/>
        </w:rPr>
        <w:t xml:space="preserve">economic status in a variable y can be decomposed into their causes </w:t>
      </w:r>
      <w:r w:rsidRPr="00D42E39">
        <w:rPr>
          <w:rFonts w:ascii="Times New Roman" w:eastAsiaTheme="minorEastAsia" w:hAnsi="Times New Roman" w:cs="Times New Roman"/>
        </w:rPr>
        <w:fldChar w:fldCharType="begin" w:fldLock="1"/>
      </w:r>
      <w:r w:rsidR="00C313A9" w:rsidRPr="00D42E39">
        <w:rPr>
          <w:rFonts w:ascii="Times New Roman" w:eastAsiaTheme="minorEastAsia" w:hAnsi="Times New Roman" w:cs="Times New Roman"/>
        </w:rPr>
        <w:instrText>ADDIN CSL_CITATION { "citationItems" : [ { "id" : "ITEM-1", "itemData" : { "DOI" : "10.1016/S0304-4076(02)00161-6", "ISSN" : "03044076", "abstract" : "Inequalities across the income distribution in a variable y can be decomposed into their causes, and changes in inequality in y can be decomposed into the effects of changes in the means and inequalities in the determinants of y, and changes in the effects of the determinants of y. Inequalities in height-for-age in Vietnam in 1993 and 1998 are largely accounted for by inequalities in consumption and in unobserved commune-level influences. Rising inequalities are largely accounted for by increases in average consumption and its protective effect, and rising inequality and general improvements at the commune level.", "author" : [ { "dropping-particle" : "", "family" : "Wagstaff", "given" : "Adam", "non-dropping-particle" : "", "parse-names" : false, "suffix" : "" }, { "dropping-particle" : "", "family" : "Doorslaer", "given" : "Eddy", "non-dropping-particle" : "van", "parse-names" : false, "suffix" : "" }, { "dropping-particle" : "", "family" : "Watanabe", "given" : "Naoko", "non-dropping-particle" : "", "parse-names" : false, "suffix" : "" } ], "container-title" : "Journal of Econometrics", "id" : "ITEM-1", "issue" : "1", "issued" : { "date-parts" : [ [ "2003", "1" ] ] }, "page" : "207-223", "title" : "On decomposing the causes of health sector inequalities with an application to malnutrition inequalities in Vietnam", "type" : "article-journal", "volume" : "112" }, "uris" : [ "http://www.mendeley.com/documents/?uuid=793ff901-2d7e-4209-a00b-8da43314933e", "http://www.mendeley.com/documents/?uuid=a8794382-792a-4d74-8562-163492be048a" ] } ], "mendeley" : { "formattedCitation" : "(Wagstaff, van Doorslaer, &amp; Watanabe, 2003)", "plainTextFormattedCitation" : "(Wagstaff, van Doorslaer, &amp; Watanabe, 2003)", "previouslyFormattedCitation" : "(Wagstaff et al., 2003)" }, "properties" : { "noteIndex" : 0 }, "schema" : "https://github.com/citation-style-language/schema/raw/master/csl-citation.json" }</w:instrText>
      </w:r>
      <w:r w:rsidRPr="00D42E39">
        <w:rPr>
          <w:rFonts w:ascii="Times New Roman" w:eastAsiaTheme="minorEastAsia" w:hAnsi="Times New Roman" w:cs="Times New Roman"/>
        </w:rPr>
        <w:fldChar w:fldCharType="separate"/>
      </w:r>
      <w:r w:rsidR="00C313A9" w:rsidRPr="00D42E39">
        <w:rPr>
          <w:rFonts w:ascii="Times New Roman" w:eastAsiaTheme="minorEastAsia" w:hAnsi="Times New Roman" w:cs="Times New Roman"/>
          <w:noProof/>
        </w:rPr>
        <w:t>(Wagstaff, van Doorslaer, &amp; Watanabe, 2003)</w:t>
      </w:r>
      <w:r w:rsidRPr="00D42E39">
        <w:rPr>
          <w:rFonts w:ascii="Times New Roman" w:eastAsiaTheme="minorEastAsia" w:hAnsi="Times New Roman" w:cs="Times New Roman"/>
        </w:rPr>
        <w:fldChar w:fldCharType="end"/>
      </w:r>
      <w:r w:rsidRPr="00D42E39">
        <w:rPr>
          <w:rFonts w:ascii="Times New Roman" w:eastAsiaTheme="minorEastAsia" w:hAnsi="Times New Roman" w:cs="Times New Roman"/>
        </w:rPr>
        <w:t xml:space="preserve">. We have used the method proposed by </w:t>
      </w:r>
      <w:r w:rsidRPr="00D42E39">
        <w:rPr>
          <w:rFonts w:ascii="Times New Roman" w:eastAsiaTheme="minorEastAsia" w:hAnsi="Times New Roman" w:cs="Times New Roman"/>
        </w:rPr>
        <w:fldChar w:fldCharType="begin" w:fldLock="1"/>
      </w:r>
      <w:r w:rsidR="00DC3B93" w:rsidRPr="00D42E39">
        <w:rPr>
          <w:rFonts w:ascii="Times New Roman" w:eastAsiaTheme="minorEastAsia" w:hAnsi="Times New Roman" w:cs="Times New Roman"/>
        </w:rPr>
        <w:instrText>ADDIN CSL_CITATION { "citationItems" : [ { "id" : "ITEM-1", "itemData" : { "DOI" : "10.1016/S0304-4076(02)00161-6", "ISSN" : "03044076", "abstract" : "Inequalities across the income distribution in a variable y can be decomposed into their causes, and changes in inequality in y can be decomposed into the effects of changes in the means and inequalities in the determinants of y, and changes in the effects of the determinants of y. Inequalities in height-for-age in Vietnam in 1993 and 1998 are largely accounted for by inequalities in consumption and in unobserved commune-level influences. Rising inequalities are largely accounted for by increases in average consumption and its protective effect, and rising inequality and general improvements at the commune level.", "author" : [ { "dropping-particle" : "", "family" : "Wagstaff", "given" : "Adam", "non-dropping-particle" : "", "parse-names" : false, "suffix" : "" }, { "dropping-particle" : "", "family" : "Doorslaer", "given" : "Eddy", "non-dropping-particle" : "van", "parse-names" : false, "suffix" : "" }, { "dropping-particle" : "", "family" : "Watanabe", "given" : "Naoko", "non-dropping-particle" : "", "parse-names" : false, "suffix" : "" } ], "container-title" : "Journal of Econometrics", "id" : "ITEM-1", "issue" : "1", "issued" : { "date-parts" : [ [ "2003", "1" ] ] }, "page" : "207-223", "title" : "On decomposing the causes of health sector inequalities with an application to malnutrition inequalities in Vietnam", "type" : "article-journal", "volume" : "112" }, "uris" : [ "http://www.mendeley.com/documents/?uuid=a8794382-792a-4d74-8562-163492be048a", "http://www.mendeley.com/documents/?uuid=793ff901-2d7e-4209-a00b-8da43314933e" ] } ], "mendeley" : { "formattedCitation" : "(Wagstaff et al., 2003)", "plainTextFormattedCitation" : "(Wagstaff et al., 2003)", "previouslyFormattedCitation" : "(Wagstaff et al., 2003)" }, "properties" : { "noteIndex" : 0 }, "schema" : "https://github.com/citation-style-language/schema/raw/master/csl-citation.json" }</w:instrText>
      </w:r>
      <w:r w:rsidRPr="00D42E39">
        <w:rPr>
          <w:rFonts w:ascii="Times New Roman" w:eastAsiaTheme="minorEastAsia" w:hAnsi="Times New Roman" w:cs="Times New Roman"/>
        </w:rPr>
        <w:fldChar w:fldCharType="separate"/>
      </w:r>
      <w:r w:rsidRPr="00D42E39">
        <w:rPr>
          <w:rFonts w:ascii="Times New Roman" w:eastAsiaTheme="minorEastAsia" w:hAnsi="Times New Roman" w:cs="Times New Roman"/>
          <w:noProof/>
        </w:rPr>
        <w:t>Wagstaff et al</w:t>
      </w:r>
      <w:r w:rsidR="00BC36F7">
        <w:rPr>
          <w:rFonts w:ascii="Times New Roman" w:eastAsiaTheme="minorEastAsia" w:hAnsi="Times New Roman" w:cs="Times New Roman"/>
          <w:noProof/>
        </w:rPr>
        <w:t>.</w:t>
      </w:r>
      <w:r w:rsidRPr="00D42E39">
        <w:rPr>
          <w:rFonts w:ascii="Times New Roman" w:eastAsiaTheme="minorEastAsia" w:hAnsi="Times New Roman" w:cs="Times New Roman"/>
          <w:noProof/>
        </w:rPr>
        <w:t xml:space="preserve"> </w:t>
      </w:r>
      <w:r w:rsidR="00394557">
        <w:rPr>
          <w:rFonts w:ascii="Times New Roman" w:eastAsiaTheme="minorEastAsia" w:hAnsi="Times New Roman" w:cs="Times New Roman"/>
          <w:noProof/>
        </w:rPr>
        <w:t>(</w:t>
      </w:r>
      <w:r w:rsidRPr="00D42E39">
        <w:rPr>
          <w:rFonts w:ascii="Times New Roman" w:eastAsiaTheme="minorEastAsia" w:hAnsi="Times New Roman" w:cs="Times New Roman"/>
          <w:noProof/>
        </w:rPr>
        <w:t>2003)</w:t>
      </w:r>
      <w:r w:rsidRPr="00D42E39">
        <w:rPr>
          <w:rFonts w:ascii="Times New Roman" w:eastAsiaTheme="minorEastAsia" w:hAnsi="Times New Roman" w:cs="Times New Roman"/>
        </w:rPr>
        <w:fldChar w:fldCharType="end"/>
      </w:r>
      <w:r w:rsidRPr="00D42E39">
        <w:rPr>
          <w:rFonts w:ascii="Times New Roman" w:eastAsiaTheme="minorEastAsia" w:hAnsi="Times New Roman" w:cs="Times New Roman"/>
        </w:rPr>
        <w:t xml:space="preserve"> to decompose socio-economic inequalities (computed as concentration indices) in the use of sanitary napkins by unmarried adolescent and young women into its determinants. A decomposition analysis allows one to estimate the contribution of individual factors to income related inequality (i.e.</w:t>
      </w:r>
      <w:r w:rsidR="00394557">
        <w:rPr>
          <w:rFonts w:ascii="Times New Roman" w:eastAsiaTheme="minorEastAsia" w:hAnsi="Times New Roman" w:cs="Times New Roman"/>
        </w:rPr>
        <w:t>,</w:t>
      </w:r>
      <w:r w:rsidRPr="00D42E39">
        <w:rPr>
          <w:rFonts w:ascii="Times New Roman" w:eastAsiaTheme="minorEastAsia" w:hAnsi="Times New Roman" w:cs="Times New Roman"/>
        </w:rPr>
        <w:t xml:space="preserve"> the gap between poor and rich) in a health variable in which each contribution is the product of sensitivity of health with respect to that factor and the degree of income-related inequality in that factor.   </w:t>
      </w:r>
    </w:p>
    <w:p w14:paraId="79858B40" w14:textId="77777777" w:rsidR="00D42E39" w:rsidRDefault="00D42E39" w:rsidP="00D42E39">
      <w:pPr>
        <w:spacing w:after="0" w:line="240" w:lineRule="auto"/>
        <w:ind w:firstLine="567"/>
        <w:rPr>
          <w:rFonts w:ascii="Times New Roman" w:eastAsiaTheme="minorEastAsia" w:hAnsi="Times New Roman" w:cs="Times New Roman"/>
        </w:rPr>
      </w:pPr>
    </w:p>
    <w:p w14:paraId="682BF30B" w14:textId="133C1DA6" w:rsidR="002E66D2" w:rsidRDefault="002E66D2" w:rsidP="00D42E39">
      <w:pPr>
        <w:spacing w:after="0" w:line="240" w:lineRule="auto"/>
        <w:ind w:firstLine="567"/>
        <w:rPr>
          <w:rFonts w:ascii="Times New Roman" w:eastAsiaTheme="minorEastAsia" w:hAnsi="Times New Roman" w:cs="Times New Roman"/>
        </w:rPr>
      </w:pPr>
      <w:r w:rsidRPr="00D42E39">
        <w:rPr>
          <w:rFonts w:ascii="Times New Roman" w:eastAsiaTheme="minorEastAsia" w:hAnsi="Times New Roman" w:cs="Times New Roman"/>
        </w:rPr>
        <w:t>For any linear additive regression model of health (y), such as</w:t>
      </w:r>
    </w:p>
    <w:p w14:paraId="044A257A" w14:textId="77777777" w:rsidR="00D42E39" w:rsidRPr="00D42E39" w:rsidRDefault="00D42E39" w:rsidP="00D42E39">
      <w:pPr>
        <w:spacing w:after="0" w:line="240" w:lineRule="auto"/>
        <w:ind w:firstLine="567"/>
        <w:rPr>
          <w:rFonts w:ascii="Times New Roman" w:eastAsiaTheme="minorEastAsia" w:hAnsi="Times New Roman" w:cs="Times New Roman"/>
        </w:rPr>
      </w:pPr>
    </w:p>
    <w:p w14:paraId="7917EAA6" w14:textId="77777777" w:rsidR="002E66D2" w:rsidRPr="00D42E39" w:rsidRDefault="002E66D2" w:rsidP="00D42E39">
      <w:pPr>
        <w:spacing w:after="0" w:line="240" w:lineRule="auto"/>
        <w:ind w:firstLine="567"/>
        <w:jc w:val="center"/>
        <w:rPr>
          <w:rFonts w:ascii="Times New Roman" w:eastAsiaTheme="minorEastAsia" w:hAnsi="Times New Roman" w:cs="Times New Roman"/>
        </w:rPr>
      </w:pPr>
      <m:oMath>
        <m:r>
          <w:rPr>
            <w:rFonts w:ascii="Cambria Math" w:eastAsiaTheme="minorEastAsia" w:hAnsi="Cambria Math" w:cs="Times New Roman"/>
          </w:rPr>
          <m:t>y=α+</m:t>
        </m:r>
        <m:nary>
          <m:naryPr>
            <m:chr m:val="∑"/>
            <m:limLoc m:val="undOvr"/>
            <m:supHide m:val="1"/>
            <m:ctrlPr>
              <w:rPr>
                <w:rFonts w:ascii="Cambria Math" w:eastAsiaTheme="minorEastAsia" w:hAnsi="Cambria Math" w:cs="Times New Roman"/>
                <w:i/>
              </w:rPr>
            </m:ctrlPr>
          </m:naryPr>
          <m:sub>
            <m:r>
              <w:rPr>
                <w:rFonts w:ascii="Cambria Math" w:eastAsiaTheme="minorEastAsia" w:hAnsi="Cambria Math" w:cs="Times New Roman"/>
              </w:rPr>
              <m:t>k</m:t>
            </m:r>
          </m:sub>
          <m:sup/>
          <m:e>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k</m:t>
                </m:r>
              </m:sub>
            </m:sSub>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k</m:t>
                </m:r>
              </m:sub>
            </m:sSub>
          </m:e>
        </m:nary>
        <m:r>
          <w:rPr>
            <w:rFonts w:ascii="Cambria Math" w:eastAsiaTheme="minorEastAsia" w:hAnsi="Cambria Math" w:cs="Times New Roman"/>
          </w:rPr>
          <m:t>+ ε,</m:t>
        </m:r>
      </m:oMath>
      <w:r w:rsidRPr="00D42E39">
        <w:rPr>
          <w:rFonts w:ascii="Times New Roman" w:eastAsiaTheme="minorEastAsia" w:hAnsi="Times New Roman" w:cs="Times New Roman"/>
        </w:rPr>
        <w:t xml:space="preserve">              (1.2)</w:t>
      </w:r>
    </w:p>
    <w:p w14:paraId="4464C939" w14:textId="77777777" w:rsidR="00D42E39" w:rsidRDefault="00D42E39" w:rsidP="00D42E39">
      <w:pPr>
        <w:spacing w:after="0" w:line="240" w:lineRule="auto"/>
        <w:ind w:firstLine="567"/>
        <w:rPr>
          <w:rFonts w:ascii="Times New Roman" w:eastAsiaTheme="minorEastAsia" w:hAnsi="Times New Roman" w:cs="Times New Roman"/>
        </w:rPr>
      </w:pPr>
    </w:p>
    <w:p w14:paraId="2591D399" w14:textId="69886306" w:rsidR="002E66D2" w:rsidRDefault="002E66D2" w:rsidP="00D42E39">
      <w:pPr>
        <w:spacing w:after="0" w:line="240" w:lineRule="auto"/>
        <w:ind w:firstLine="567"/>
        <w:rPr>
          <w:rFonts w:ascii="Times New Roman" w:eastAsiaTheme="minorEastAsia" w:hAnsi="Times New Roman" w:cs="Times New Roman"/>
        </w:rPr>
      </w:pPr>
      <w:r w:rsidRPr="00D42E39">
        <w:rPr>
          <w:rFonts w:ascii="Times New Roman" w:eastAsiaTheme="minorEastAsia" w:hAnsi="Times New Roman" w:cs="Times New Roman"/>
        </w:rPr>
        <w:t>The concentration index for y, C, can be written as follows:</w:t>
      </w:r>
    </w:p>
    <w:p w14:paraId="304BDCC9" w14:textId="77777777" w:rsidR="00D42E39" w:rsidRPr="00D42E39" w:rsidRDefault="00D42E39" w:rsidP="00D42E39">
      <w:pPr>
        <w:spacing w:after="0" w:line="240" w:lineRule="auto"/>
        <w:ind w:firstLine="567"/>
        <w:rPr>
          <w:rFonts w:ascii="Times New Roman" w:eastAsiaTheme="minorEastAsia" w:hAnsi="Times New Roman" w:cs="Times New Roman"/>
        </w:rPr>
      </w:pPr>
    </w:p>
    <w:p w14:paraId="666F60A2" w14:textId="77777777" w:rsidR="002E66D2" w:rsidRPr="00D42E39" w:rsidRDefault="002E66D2" w:rsidP="00D42E39">
      <w:pPr>
        <w:spacing w:after="0" w:line="240" w:lineRule="auto"/>
        <w:ind w:firstLine="567"/>
        <w:jc w:val="center"/>
        <w:rPr>
          <w:rFonts w:ascii="Times New Roman" w:eastAsiaTheme="minorEastAsia" w:hAnsi="Times New Roman" w:cs="Times New Roman"/>
        </w:rPr>
      </w:pPr>
      <m:oMath>
        <m:r>
          <w:rPr>
            <w:rFonts w:ascii="Cambria Math" w:eastAsiaTheme="minorEastAsia" w:hAnsi="Cambria Math" w:cs="Times New Roman"/>
          </w:rPr>
          <m:t>C=</m:t>
        </m:r>
        <m:nary>
          <m:naryPr>
            <m:chr m:val="∑"/>
            <m:limLoc m:val="undOvr"/>
            <m:supHide m:val="1"/>
            <m:ctrlPr>
              <w:rPr>
                <w:rFonts w:ascii="Cambria Math" w:eastAsiaTheme="minorEastAsia" w:hAnsi="Cambria Math" w:cs="Times New Roman"/>
                <w:i/>
              </w:rPr>
            </m:ctrlPr>
          </m:naryPr>
          <m:sub>
            <m:r>
              <w:rPr>
                <w:rFonts w:ascii="Cambria Math" w:eastAsiaTheme="minorEastAsia" w:hAnsi="Cambria Math" w:cs="Times New Roman"/>
              </w:rPr>
              <m:t>k</m:t>
            </m:r>
          </m:sub>
          <m:sup/>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k</m:t>
                        </m:r>
                      </m:sub>
                    </m:sSub>
                    <m:sSub>
                      <m:sSubPr>
                        <m:ctrlPr>
                          <w:rPr>
                            <w:rFonts w:ascii="Cambria Math" w:eastAsiaTheme="minorEastAsia" w:hAnsi="Cambria Math" w:cs="Times New Roman"/>
                            <w:i/>
                          </w:rPr>
                        </m:ctrlPr>
                      </m:sSubPr>
                      <m:e>
                        <m:bar>
                          <m:barPr>
                            <m:pos m:val="top"/>
                            <m:ctrlPr>
                              <w:rPr>
                                <w:rFonts w:ascii="Cambria Math" w:eastAsiaTheme="minorEastAsia" w:hAnsi="Cambria Math" w:cs="Times New Roman"/>
                                <w:i/>
                              </w:rPr>
                            </m:ctrlPr>
                          </m:barPr>
                          <m:e>
                            <m:r>
                              <w:rPr>
                                <w:rFonts w:ascii="Cambria Math" w:eastAsiaTheme="minorEastAsia" w:hAnsi="Cambria Math" w:cs="Times New Roman"/>
                              </w:rPr>
                              <m:t>x</m:t>
                            </m:r>
                          </m:e>
                        </m:bar>
                      </m:e>
                      <m:sub>
                        <m:r>
                          <w:rPr>
                            <w:rFonts w:ascii="Cambria Math" w:eastAsiaTheme="minorEastAsia" w:hAnsi="Cambria Math" w:cs="Times New Roman"/>
                          </w:rPr>
                          <m:t>k</m:t>
                        </m:r>
                      </m:sub>
                    </m:sSub>
                  </m:num>
                  <m:den>
                    <m:r>
                      <w:rPr>
                        <w:rFonts w:ascii="Cambria Math" w:eastAsiaTheme="minorEastAsia" w:hAnsi="Cambria Math" w:cs="Times New Roman"/>
                      </w:rPr>
                      <m:t>μ</m:t>
                    </m:r>
                  </m:den>
                </m:f>
              </m:e>
            </m:d>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k</m:t>
                </m:r>
              </m:sub>
            </m:sSub>
          </m:e>
        </m:nary>
        <m:r>
          <w:rPr>
            <w:rFonts w:ascii="Cambria Math" w:eastAsiaTheme="minorEastAsia" w:hAnsi="Cambria Math" w:cs="Times New Roman"/>
          </w:rPr>
          <m:t>+</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GC</m:t>
                </m:r>
              </m:e>
              <m:sub>
                <m:r>
                  <w:rPr>
                    <w:rFonts w:ascii="Cambria Math" w:eastAsiaTheme="minorEastAsia" w:hAnsi="Cambria Math" w:cs="Times New Roman"/>
                  </w:rPr>
                  <m:t>ε</m:t>
                </m:r>
              </m:sub>
            </m:sSub>
          </m:num>
          <m:den>
            <m:r>
              <w:rPr>
                <w:rFonts w:ascii="Cambria Math" w:eastAsiaTheme="minorEastAsia" w:hAnsi="Cambria Math" w:cs="Times New Roman"/>
              </w:rPr>
              <m:t>μ</m:t>
            </m:r>
          </m:den>
        </m:f>
        <m:r>
          <w:rPr>
            <w:rFonts w:ascii="Cambria Math" w:eastAsiaTheme="minorEastAsia" w:hAnsi="Cambria Math" w:cs="Times New Roman"/>
          </w:rPr>
          <m:t>,</m:t>
        </m:r>
      </m:oMath>
      <w:r w:rsidRPr="00D42E39">
        <w:rPr>
          <w:rFonts w:ascii="Times New Roman" w:eastAsiaTheme="minorEastAsia" w:hAnsi="Times New Roman" w:cs="Times New Roman"/>
        </w:rPr>
        <w:t xml:space="preserve">             (1.3)</w:t>
      </w:r>
    </w:p>
    <w:p w14:paraId="67C169B1" w14:textId="77777777" w:rsidR="00D42E39" w:rsidRDefault="00D42E39" w:rsidP="00D42E39">
      <w:pPr>
        <w:spacing w:after="0" w:line="240" w:lineRule="auto"/>
        <w:ind w:firstLine="567"/>
        <w:jc w:val="both"/>
        <w:rPr>
          <w:rFonts w:ascii="Times New Roman" w:eastAsiaTheme="minorEastAsia" w:hAnsi="Times New Roman" w:cs="Times New Roman"/>
        </w:rPr>
      </w:pPr>
    </w:p>
    <w:p w14:paraId="59DB0EB3" w14:textId="4D59DFB7" w:rsidR="002E66D2" w:rsidRPr="00D42E39" w:rsidRDefault="002E66D2" w:rsidP="00D42E39">
      <w:pPr>
        <w:spacing w:after="0" w:line="240" w:lineRule="auto"/>
        <w:ind w:firstLine="567"/>
        <w:jc w:val="both"/>
        <w:rPr>
          <w:rFonts w:ascii="Times New Roman" w:eastAsiaTheme="minorEastAsia" w:hAnsi="Times New Roman" w:cs="Times New Roman"/>
        </w:rPr>
      </w:pPr>
      <w:r w:rsidRPr="00D42E39">
        <w:rPr>
          <w:rFonts w:ascii="Times New Roman" w:eastAsiaTheme="minorEastAsia" w:hAnsi="Times New Roman" w:cs="Times New Roman"/>
        </w:rPr>
        <w:t xml:space="preserve">Where </w:t>
      </w:r>
      <m:oMath>
        <m:r>
          <w:rPr>
            <w:rFonts w:ascii="Cambria Math" w:eastAsiaTheme="minorEastAsia" w:hAnsi="Cambria Math" w:cs="Times New Roman"/>
          </w:rPr>
          <m:t>μ</m:t>
        </m:r>
      </m:oMath>
      <w:r w:rsidRPr="00D42E39">
        <w:rPr>
          <w:rFonts w:ascii="Times New Roman" w:eastAsiaTheme="minorEastAsia" w:hAnsi="Times New Roman" w:cs="Times New Roman"/>
        </w:rPr>
        <w:t xml:space="preserve"> is the mean of y, </w:t>
      </w:r>
      <m:oMath>
        <m:sSub>
          <m:sSubPr>
            <m:ctrlPr>
              <w:rPr>
                <w:rFonts w:ascii="Cambria Math" w:eastAsiaTheme="minorEastAsia" w:hAnsi="Cambria Math" w:cs="Times New Roman"/>
                <w:i/>
              </w:rPr>
            </m:ctrlPr>
          </m:sSubPr>
          <m:e>
            <m:bar>
              <m:barPr>
                <m:pos m:val="top"/>
                <m:ctrlPr>
                  <w:rPr>
                    <w:rFonts w:ascii="Cambria Math" w:eastAsiaTheme="minorEastAsia" w:hAnsi="Cambria Math" w:cs="Times New Roman"/>
                    <w:i/>
                  </w:rPr>
                </m:ctrlPr>
              </m:barPr>
              <m:e>
                <m:r>
                  <w:rPr>
                    <w:rFonts w:ascii="Cambria Math" w:eastAsiaTheme="minorEastAsia" w:hAnsi="Cambria Math" w:cs="Times New Roman"/>
                  </w:rPr>
                  <m:t>x</m:t>
                </m:r>
              </m:e>
            </m:bar>
          </m:e>
          <m:sub>
            <m:r>
              <w:rPr>
                <w:rFonts w:ascii="Cambria Math" w:eastAsiaTheme="minorEastAsia" w:hAnsi="Cambria Math" w:cs="Times New Roman"/>
              </w:rPr>
              <m:t>k</m:t>
            </m:r>
          </m:sub>
        </m:sSub>
      </m:oMath>
      <w:r w:rsidRPr="00D42E39">
        <w:rPr>
          <w:rFonts w:ascii="Times New Roman" w:eastAsiaTheme="minorEastAsia" w:hAnsi="Times New Roman" w:cs="Times New Roman"/>
        </w:rPr>
        <w:t xml:space="preserve"> is the mean of</w:t>
      </w:r>
      <m:oMath>
        <m:sSub>
          <m:sSubPr>
            <m:ctrlPr>
              <w:rPr>
                <w:rFonts w:ascii="Cambria Math" w:eastAsiaTheme="minorEastAsia" w:hAnsi="Cambria Math" w:cs="Times New Roman"/>
                <w:i/>
              </w:rPr>
            </m:ctrlPr>
          </m:sSubPr>
          <m:e>
            <m:r>
              <w:rPr>
                <w:rFonts w:ascii="Cambria Math" w:eastAsiaTheme="minorEastAsia" w:hAnsi="Cambria Math" w:cs="Times New Roman"/>
              </w:rPr>
              <m:t xml:space="preserve"> x</m:t>
            </m:r>
          </m:e>
          <m:sub>
            <m:r>
              <w:rPr>
                <w:rFonts w:ascii="Cambria Math" w:eastAsiaTheme="minorEastAsia" w:hAnsi="Cambria Math" w:cs="Times New Roman"/>
              </w:rPr>
              <m:t>k</m:t>
            </m:r>
          </m:sub>
        </m:sSub>
      </m:oMath>
      <w:r w:rsidRPr="00D42E39">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k</m:t>
            </m:r>
          </m:sub>
        </m:sSub>
      </m:oMath>
      <w:r w:rsidRPr="00D42E39">
        <w:rPr>
          <w:rFonts w:ascii="Times New Roman" w:eastAsiaTheme="minorEastAsia" w:hAnsi="Times New Roman" w:cs="Times New Roman"/>
        </w:rPr>
        <w:t xml:space="preserve"> is the concentration index for </w:t>
      </w:r>
      <m:oMath>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k</m:t>
            </m:r>
          </m:sub>
        </m:sSub>
      </m:oMath>
      <w:r w:rsidRPr="00D42E39">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k</m:t>
            </m:r>
          </m:sub>
        </m:sSub>
      </m:oMath>
      <w:r w:rsidRPr="00D42E39">
        <w:rPr>
          <w:rFonts w:ascii="Times New Roman" w:eastAsiaTheme="minorEastAsia" w:hAnsi="Times New Roman" w:cs="Times New Roman"/>
        </w:rPr>
        <w:t xml:space="preserve"> is the regression coefficient, and </w:t>
      </w:r>
      <m:oMath>
        <m:sSub>
          <m:sSubPr>
            <m:ctrlPr>
              <w:rPr>
                <w:rFonts w:ascii="Cambria Math" w:eastAsiaTheme="minorEastAsia" w:hAnsi="Cambria Math" w:cs="Times New Roman"/>
                <w:i/>
              </w:rPr>
            </m:ctrlPr>
          </m:sSubPr>
          <m:e>
            <m:r>
              <w:rPr>
                <w:rFonts w:ascii="Cambria Math" w:eastAsiaTheme="minorEastAsia" w:hAnsi="Cambria Math" w:cs="Times New Roman"/>
              </w:rPr>
              <m:t>GC</m:t>
            </m:r>
          </m:e>
          <m:sub>
            <m:r>
              <w:rPr>
                <w:rFonts w:ascii="Cambria Math" w:eastAsiaTheme="minorEastAsia" w:hAnsi="Cambria Math" w:cs="Times New Roman"/>
              </w:rPr>
              <m:t>ε</m:t>
            </m:r>
          </m:sub>
        </m:sSub>
      </m:oMath>
      <w:r w:rsidRPr="00D42E39">
        <w:rPr>
          <w:rFonts w:ascii="Times New Roman" w:eastAsiaTheme="minorEastAsia" w:hAnsi="Times New Roman" w:cs="Times New Roman"/>
        </w:rPr>
        <w:t xml:space="preserve"> is the generalized concentration index for the error term (</w:t>
      </w:r>
      <m:oMath>
        <m:r>
          <w:rPr>
            <w:rFonts w:ascii="Cambria Math" w:eastAsiaTheme="minorEastAsia" w:hAnsi="Cambria Math" w:cs="Times New Roman"/>
          </w:rPr>
          <m:t>ε</m:t>
        </m:r>
      </m:oMath>
      <w:r w:rsidRPr="00D42E39">
        <w:rPr>
          <w:rFonts w:ascii="Times New Roman" w:eastAsiaTheme="minorEastAsia" w:hAnsi="Times New Roman" w:cs="Times New Roman"/>
        </w:rPr>
        <w:t xml:space="preserve">). Equation (1.3) shows that C is made up of two components. The first one is the deterministic or </w:t>
      </w:r>
      <w:r w:rsidRPr="00D42E39">
        <w:rPr>
          <w:rFonts w:ascii="Times New Roman" w:eastAsiaTheme="minorEastAsia" w:hAnsi="Times New Roman" w:cs="Times New Roman"/>
        </w:rPr>
        <w:lastRenderedPageBreak/>
        <w:t xml:space="preserve">‘explained’ component. This is equivalent to a weighted sum of the concentration indices of the k regressors where the weight for </w:t>
      </w:r>
      <m:oMath>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k</m:t>
            </m:r>
          </m:sub>
        </m:sSub>
      </m:oMath>
      <w:r w:rsidRPr="00D42E39">
        <w:rPr>
          <w:rFonts w:ascii="Times New Roman" w:eastAsiaTheme="minorEastAsia" w:hAnsi="Times New Roman" w:cs="Times New Roman"/>
        </w:rPr>
        <w:t xml:space="preserve"> is the elasticity [An elasticity is a unit-free measure of (partial) association, i.e. the </w:t>
      </w:r>
      <w:r w:rsidR="005E235D">
        <w:rPr>
          <w:rFonts w:ascii="Times New Roman" w:eastAsiaTheme="minorEastAsia" w:hAnsi="Times New Roman" w:cs="Times New Roman"/>
        </w:rPr>
        <w:t>percent</w:t>
      </w:r>
      <w:r w:rsidR="00394557">
        <w:rPr>
          <w:rFonts w:ascii="Times New Roman" w:eastAsiaTheme="minorEastAsia" w:hAnsi="Times New Roman" w:cs="Times New Roman"/>
        </w:rPr>
        <w:t>age</w:t>
      </w:r>
      <w:r w:rsidRPr="00D42E39">
        <w:rPr>
          <w:rFonts w:ascii="Times New Roman" w:eastAsiaTheme="minorEastAsia" w:hAnsi="Times New Roman" w:cs="Times New Roman"/>
        </w:rPr>
        <w:t xml:space="preserve"> change in the dependent variable (health or health utilization; sanitary napkin use in our study) associated with a </w:t>
      </w:r>
      <w:r w:rsidR="005E235D">
        <w:rPr>
          <w:rFonts w:ascii="Times New Roman" w:eastAsiaTheme="minorEastAsia" w:hAnsi="Times New Roman" w:cs="Times New Roman"/>
        </w:rPr>
        <w:t>percent</w:t>
      </w:r>
      <w:r w:rsidR="00394557">
        <w:rPr>
          <w:rFonts w:ascii="Times New Roman" w:eastAsiaTheme="minorEastAsia" w:hAnsi="Times New Roman" w:cs="Times New Roman"/>
        </w:rPr>
        <w:t>age</w:t>
      </w:r>
      <w:r w:rsidRPr="00D42E39">
        <w:rPr>
          <w:rFonts w:ascii="Times New Roman" w:eastAsiaTheme="minorEastAsia" w:hAnsi="Times New Roman" w:cs="Times New Roman"/>
        </w:rPr>
        <w:t xml:space="preserve"> change in the explanatory variable] of y with respect to </w:t>
      </w:r>
      <m:oMath>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k</m:t>
            </m:r>
          </m:sub>
        </m:sSub>
      </m:oMath>
      <w:r w:rsidRPr="00D42E39">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m:rPr>
                <m:sty m:val="p"/>
              </m:rPr>
              <w:rPr>
                <w:rFonts w:ascii="Cambria Math" w:eastAsiaTheme="minorEastAsia" w:hAnsi="Cambria Math" w:cs="Times New Roman"/>
              </w:rPr>
              <m:t>η</m:t>
            </m:r>
          </m:e>
          <m:sub>
            <m:r>
              <w:rPr>
                <w:rFonts w:ascii="Cambria Math" w:eastAsiaTheme="minorEastAsia" w:hAnsi="Cambria Math" w:cs="Times New Roman"/>
              </w:rPr>
              <m:t>k</m:t>
            </m:r>
          </m:sub>
        </m:sSub>
      </m:oMath>
      <w:r w:rsidRPr="00D42E39">
        <w:rPr>
          <w:rFonts w:ascii="Times New Roman" w:eastAsiaTheme="minorEastAsia" w:hAnsi="Times New Roman" w:cs="Times New Roman"/>
        </w:rPr>
        <w:t>=</w:t>
      </w:r>
      <m:oMath>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k</m:t>
                </m:r>
              </m:sub>
            </m:sSub>
            <m:sSub>
              <m:sSubPr>
                <m:ctrlPr>
                  <w:rPr>
                    <w:rFonts w:ascii="Cambria Math" w:eastAsiaTheme="minorEastAsia" w:hAnsi="Cambria Math" w:cs="Times New Roman"/>
                    <w:i/>
                  </w:rPr>
                </m:ctrlPr>
              </m:sSubPr>
              <m:e>
                <m:bar>
                  <m:barPr>
                    <m:pos m:val="top"/>
                    <m:ctrlPr>
                      <w:rPr>
                        <w:rFonts w:ascii="Cambria Math" w:eastAsiaTheme="minorEastAsia" w:hAnsi="Cambria Math" w:cs="Times New Roman"/>
                        <w:i/>
                      </w:rPr>
                    </m:ctrlPr>
                  </m:barPr>
                  <m:e>
                    <m:r>
                      <w:rPr>
                        <w:rFonts w:ascii="Cambria Math" w:eastAsiaTheme="minorEastAsia" w:hAnsi="Cambria Math" w:cs="Times New Roman"/>
                      </w:rPr>
                      <m:t>x</m:t>
                    </m:r>
                  </m:e>
                </m:bar>
              </m:e>
              <m:sub>
                <m:r>
                  <w:rPr>
                    <w:rFonts w:ascii="Cambria Math" w:eastAsiaTheme="minorEastAsia" w:hAnsi="Cambria Math" w:cs="Times New Roman"/>
                  </w:rPr>
                  <m:t>k</m:t>
                </m:r>
              </m:sub>
            </m:sSub>
          </m:num>
          <m:den>
            <m:r>
              <w:rPr>
                <w:rFonts w:ascii="Cambria Math" w:eastAsiaTheme="minorEastAsia" w:hAnsi="Cambria Math" w:cs="Times New Roman"/>
              </w:rPr>
              <m:t>μ</m:t>
            </m:r>
          </m:den>
        </m:f>
      </m:oMath>
      <w:r w:rsidRPr="00D42E39">
        <w:rPr>
          <w:rFonts w:ascii="Times New Roman" w:eastAsiaTheme="minorEastAsia" w:hAnsi="Times New Roman" w:cs="Times New Roman"/>
        </w:rPr>
        <w:t>). The last component</w:t>
      </w:r>
      <w:r w:rsidR="00394557">
        <w:rPr>
          <w:rFonts w:ascii="Times New Roman" w:eastAsiaTheme="minorEastAsia" w:hAnsi="Times New Roman" w:cs="Times New Roman"/>
        </w:rPr>
        <w:t>,</w:t>
      </w:r>
      <w:r w:rsidRPr="00D42E39">
        <w:rPr>
          <w:rFonts w:ascii="Times New Roman" w:eastAsiaTheme="minorEastAsia" w:hAnsi="Times New Roman" w:cs="Times New Roman"/>
        </w:rPr>
        <w:t xml:space="preserve"> i.e.</w:t>
      </w:r>
      <w:r w:rsidR="00394557">
        <w:rPr>
          <w:rFonts w:ascii="Times New Roman" w:eastAsiaTheme="minorEastAsia" w:hAnsi="Times New Roman" w:cs="Times New Roman"/>
        </w:rPr>
        <w:t>,</w:t>
      </w:r>
      <w:r w:rsidRPr="00D42E39">
        <w:rPr>
          <w:rFonts w:ascii="Times New Roman" w:eastAsiaTheme="minorEastAsia" w:hAnsi="Times New Roman" w:cs="Times New Roman"/>
        </w:rPr>
        <w:t xml:space="preserve"> residual component reflects the income related inequality in health/health utilization that is not explained by systematic variation in the regressors by income which should approach zero for a well-specified model. </w:t>
      </w:r>
    </w:p>
    <w:p w14:paraId="6C8FBEC0" w14:textId="77777777" w:rsidR="00D42E39" w:rsidRDefault="00D42E39" w:rsidP="00D42E39">
      <w:pPr>
        <w:spacing w:after="0" w:line="240" w:lineRule="auto"/>
        <w:rPr>
          <w:rFonts w:ascii="Times New Roman" w:eastAsiaTheme="minorEastAsia" w:hAnsi="Times New Roman" w:cs="Times New Roman"/>
          <w:b/>
          <w:i/>
        </w:rPr>
      </w:pPr>
    </w:p>
    <w:p w14:paraId="43CFDFCA" w14:textId="02009CE5" w:rsidR="00733A03" w:rsidRPr="00D42E39" w:rsidRDefault="002E66D2" w:rsidP="00D42E39">
      <w:pPr>
        <w:spacing w:after="0" w:line="240" w:lineRule="auto"/>
        <w:rPr>
          <w:rFonts w:ascii="Times New Roman" w:hAnsi="Times New Roman" w:cs="Times New Roman"/>
        </w:rPr>
      </w:pPr>
      <w:r w:rsidRPr="00D42E39">
        <w:rPr>
          <w:rFonts w:ascii="Times New Roman" w:eastAsiaTheme="minorEastAsia" w:hAnsi="Times New Roman" w:cs="Times New Roman"/>
          <w:i/>
        </w:rPr>
        <w:t xml:space="preserve">Methodological steps of decomposition </w:t>
      </w:r>
    </w:p>
    <w:p w14:paraId="4A5F5CA8" w14:textId="77777777" w:rsidR="00D42E39" w:rsidRDefault="00D42E39" w:rsidP="00D42E39">
      <w:pPr>
        <w:spacing w:after="0" w:line="240" w:lineRule="auto"/>
        <w:ind w:firstLine="567"/>
        <w:rPr>
          <w:rFonts w:ascii="Times New Roman" w:hAnsi="Times New Roman" w:cs="Times New Roman"/>
        </w:rPr>
      </w:pPr>
    </w:p>
    <w:p w14:paraId="18C91E67" w14:textId="1CB3C2A7" w:rsidR="002E66D2" w:rsidRDefault="002E66D2" w:rsidP="00D42E39">
      <w:pPr>
        <w:spacing w:after="0" w:line="240" w:lineRule="auto"/>
        <w:ind w:firstLine="567"/>
        <w:rPr>
          <w:rFonts w:ascii="Times New Roman" w:hAnsi="Times New Roman" w:cs="Times New Roman"/>
        </w:rPr>
      </w:pPr>
      <w:r w:rsidRPr="00D42E39">
        <w:rPr>
          <w:rFonts w:ascii="Times New Roman" w:hAnsi="Times New Roman" w:cs="Times New Roman"/>
        </w:rPr>
        <w:t>The decomposition analysis is carried out in the following steps:</w:t>
      </w:r>
    </w:p>
    <w:p w14:paraId="373F5304" w14:textId="77777777" w:rsidR="00CA64D1" w:rsidRPr="00D42E39" w:rsidRDefault="00CA64D1" w:rsidP="00D42E39">
      <w:pPr>
        <w:spacing w:after="0" w:line="240" w:lineRule="auto"/>
        <w:ind w:firstLine="567"/>
        <w:rPr>
          <w:rFonts w:ascii="Times New Roman" w:hAnsi="Times New Roman" w:cs="Times New Roman"/>
        </w:rPr>
      </w:pPr>
    </w:p>
    <w:p w14:paraId="76A01CF9" w14:textId="261BD845" w:rsidR="002E66D2" w:rsidRPr="00D42E39" w:rsidRDefault="002E66D2" w:rsidP="00CA64D1">
      <w:pPr>
        <w:pStyle w:val="ListParagraph"/>
        <w:numPr>
          <w:ilvl w:val="0"/>
          <w:numId w:val="4"/>
        </w:numPr>
        <w:spacing w:after="0" w:line="240" w:lineRule="auto"/>
        <w:ind w:left="993" w:hanging="426"/>
        <w:jc w:val="both"/>
        <w:rPr>
          <w:rFonts w:ascii="Times New Roman" w:hAnsi="Times New Roman" w:cs="Times New Roman"/>
        </w:rPr>
      </w:pPr>
      <w:r w:rsidRPr="00D42E39">
        <w:rPr>
          <w:rFonts w:ascii="Times New Roman" w:hAnsi="Times New Roman" w:cs="Times New Roman"/>
        </w:rPr>
        <w:t>Compute</w:t>
      </w:r>
      <w:r w:rsidR="0091258C">
        <w:rPr>
          <w:rFonts w:ascii="Times New Roman" w:hAnsi="Times New Roman" w:cs="Times New Roman"/>
        </w:rPr>
        <w:t>d</w:t>
      </w:r>
      <w:r w:rsidRPr="00D42E39">
        <w:rPr>
          <w:rFonts w:ascii="Times New Roman" w:hAnsi="Times New Roman" w:cs="Times New Roman"/>
        </w:rPr>
        <w:t xml:space="preserve"> the coefficients of the explanatory variables (</w:t>
      </w:r>
      <m:oMath>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k</m:t>
            </m:r>
          </m:sub>
        </m:sSub>
        <m:r>
          <w:rPr>
            <w:rFonts w:ascii="Cambria Math" w:eastAsiaTheme="minorEastAsia" w:hAnsi="Cambria Math" w:cs="Times New Roman"/>
          </w:rPr>
          <m:t>)</m:t>
        </m:r>
      </m:oMath>
      <w:r w:rsidRPr="00D42E39">
        <w:rPr>
          <w:rFonts w:ascii="Times New Roman" w:hAnsi="Times New Roman" w:cs="Times New Roman"/>
        </w:rPr>
        <w:t xml:space="preserve"> by regressing the health/utilization variable against its determinants through an appropriate model. </w:t>
      </w:r>
    </w:p>
    <w:p w14:paraId="77846833" w14:textId="15449B32" w:rsidR="002E66D2" w:rsidRPr="00D42E39" w:rsidRDefault="002E66D2" w:rsidP="00CA64D1">
      <w:pPr>
        <w:pStyle w:val="ListParagraph"/>
        <w:numPr>
          <w:ilvl w:val="0"/>
          <w:numId w:val="4"/>
        </w:numPr>
        <w:spacing w:after="0" w:line="240" w:lineRule="auto"/>
        <w:ind w:left="993" w:hanging="426"/>
        <w:jc w:val="both"/>
        <w:rPr>
          <w:rFonts w:ascii="Times New Roman" w:hAnsi="Times New Roman" w:cs="Times New Roman"/>
        </w:rPr>
      </w:pPr>
      <w:r w:rsidRPr="00D42E39">
        <w:rPr>
          <w:rFonts w:ascii="Times New Roman" w:hAnsi="Times New Roman" w:cs="Times New Roman"/>
        </w:rPr>
        <w:t>Calculate</w:t>
      </w:r>
      <w:r w:rsidR="0091258C">
        <w:rPr>
          <w:rFonts w:ascii="Times New Roman" w:hAnsi="Times New Roman" w:cs="Times New Roman"/>
        </w:rPr>
        <w:t>d</w:t>
      </w:r>
      <w:r w:rsidRPr="00D42E39">
        <w:rPr>
          <w:rFonts w:ascii="Times New Roman" w:hAnsi="Times New Roman" w:cs="Times New Roman"/>
        </w:rPr>
        <w:t xml:space="preserve"> the mean of </w:t>
      </w:r>
      <w:r w:rsidRPr="006C7509">
        <w:rPr>
          <w:rFonts w:ascii="Times New Roman" w:hAnsi="Times New Roman" w:cs="Times New Roman"/>
          <w:color w:val="000000" w:themeColor="text1"/>
        </w:rPr>
        <w:t xml:space="preserve">health (or other) </w:t>
      </w:r>
      <w:r w:rsidRPr="00D42E39">
        <w:rPr>
          <w:rFonts w:ascii="Times New Roman" w:hAnsi="Times New Roman" w:cs="Times New Roman"/>
        </w:rPr>
        <w:t>variable of interest and each of its determinants (µ and</w:t>
      </w:r>
      <m:oMath>
        <m:sSub>
          <m:sSubPr>
            <m:ctrlPr>
              <w:rPr>
                <w:rFonts w:ascii="Cambria Math" w:eastAsiaTheme="minorEastAsia" w:hAnsi="Cambria Math" w:cs="Times New Roman"/>
                <w:i/>
              </w:rPr>
            </m:ctrlPr>
          </m:sSubPr>
          <m:e>
            <m:bar>
              <m:barPr>
                <m:pos m:val="top"/>
                <m:ctrlPr>
                  <w:rPr>
                    <w:rFonts w:ascii="Cambria Math" w:eastAsiaTheme="minorEastAsia" w:hAnsi="Cambria Math" w:cs="Times New Roman"/>
                    <w:i/>
                  </w:rPr>
                </m:ctrlPr>
              </m:barPr>
              <m:e>
                <m:r>
                  <w:rPr>
                    <w:rFonts w:ascii="Cambria Math" w:eastAsiaTheme="minorEastAsia" w:hAnsi="Cambria Math" w:cs="Times New Roman"/>
                  </w:rPr>
                  <m:t xml:space="preserve"> x</m:t>
                </m:r>
              </m:e>
            </m:bar>
          </m:e>
          <m:sub>
            <m:r>
              <w:rPr>
                <w:rFonts w:ascii="Cambria Math" w:eastAsiaTheme="minorEastAsia" w:hAnsi="Cambria Math" w:cs="Times New Roman"/>
              </w:rPr>
              <m:t>k</m:t>
            </m:r>
          </m:sub>
        </m:sSub>
        <m:r>
          <w:rPr>
            <w:rFonts w:ascii="Cambria Math" w:eastAsiaTheme="minorEastAsia" w:hAnsi="Cambria Math" w:cs="Times New Roman"/>
          </w:rPr>
          <m:t>)</m:t>
        </m:r>
      </m:oMath>
      <w:r w:rsidRPr="00D42E39">
        <w:rPr>
          <w:rFonts w:ascii="Times New Roman" w:eastAsiaTheme="minorEastAsia" w:hAnsi="Times New Roman" w:cs="Times New Roman"/>
        </w:rPr>
        <w:t>.</w:t>
      </w:r>
    </w:p>
    <w:p w14:paraId="2D9E7486" w14:textId="040295A0" w:rsidR="002E66D2" w:rsidRPr="00D42E39" w:rsidRDefault="002E66D2" w:rsidP="00CA64D1">
      <w:pPr>
        <w:pStyle w:val="ListParagraph"/>
        <w:numPr>
          <w:ilvl w:val="0"/>
          <w:numId w:val="4"/>
        </w:numPr>
        <w:spacing w:after="0" w:line="240" w:lineRule="auto"/>
        <w:ind w:left="993" w:hanging="426"/>
        <w:jc w:val="both"/>
        <w:rPr>
          <w:rFonts w:ascii="Times New Roman" w:hAnsi="Times New Roman" w:cs="Times New Roman"/>
        </w:rPr>
      </w:pPr>
      <w:r w:rsidRPr="00D42E39">
        <w:rPr>
          <w:rFonts w:ascii="Times New Roman" w:hAnsi="Times New Roman" w:cs="Times New Roman"/>
        </w:rPr>
        <w:t>Calculate</w:t>
      </w:r>
      <w:r w:rsidR="0091258C">
        <w:rPr>
          <w:rFonts w:ascii="Times New Roman" w:hAnsi="Times New Roman" w:cs="Times New Roman"/>
        </w:rPr>
        <w:t>d</w:t>
      </w:r>
      <w:r w:rsidRPr="00D42E39">
        <w:rPr>
          <w:rFonts w:ascii="Times New Roman" w:hAnsi="Times New Roman" w:cs="Times New Roman"/>
        </w:rPr>
        <w:t xml:space="preserve"> the concentration indices for the </w:t>
      </w:r>
      <w:r w:rsidRPr="006C7509">
        <w:rPr>
          <w:rFonts w:ascii="Times New Roman" w:hAnsi="Times New Roman" w:cs="Times New Roman"/>
          <w:color w:val="000000" w:themeColor="text1"/>
        </w:rPr>
        <w:t xml:space="preserve">health (or other) </w:t>
      </w:r>
      <w:r w:rsidRPr="00D42E39">
        <w:rPr>
          <w:rFonts w:ascii="Times New Roman" w:hAnsi="Times New Roman" w:cs="Times New Roman"/>
        </w:rPr>
        <w:t xml:space="preserve">variable and for the determinants (C and </w:t>
      </w:r>
      <m:oMath>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k</m:t>
            </m:r>
          </m:sub>
        </m:sSub>
        <m:r>
          <w:rPr>
            <w:rFonts w:ascii="Cambria Math" w:eastAsiaTheme="minorEastAsia" w:hAnsi="Cambria Math" w:cs="Times New Roman"/>
          </w:rPr>
          <m:t>)</m:t>
        </m:r>
      </m:oMath>
      <w:r w:rsidRPr="00D42E39">
        <w:rPr>
          <w:rFonts w:ascii="Times New Roman" w:eastAsiaTheme="minorEastAsia" w:hAnsi="Times New Roman" w:cs="Times New Roman"/>
        </w:rPr>
        <w:t xml:space="preserve"> using equation (1.1) along with generalized concentration index of error term (</w:t>
      </w:r>
      <m:oMath>
        <m:sSub>
          <m:sSubPr>
            <m:ctrlPr>
              <w:rPr>
                <w:rFonts w:ascii="Cambria Math" w:eastAsiaTheme="minorEastAsia" w:hAnsi="Cambria Math" w:cs="Times New Roman"/>
                <w:i/>
              </w:rPr>
            </m:ctrlPr>
          </m:sSubPr>
          <m:e>
            <m:r>
              <w:rPr>
                <w:rFonts w:ascii="Cambria Math" w:eastAsiaTheme="minorEastAsia" w:hAnsi="Cambria Math" w:cs="Times New Roman"/>
              </w:rPr>
              <m:t>GC</m:t>
            </m:r>
          </m:e>
          <m:sub>
            <m:r>
              <w:rPr>
                <w:rFonts w:ascii="Cambria Math" w:eastAsiaTheme="minorEastAsia" w:hAnsi="Cambria Math" w:cs="Times New Roman"/>
              </w:rPr>
              <m:t>ε</m:t>
            </m:r>
          </m:sub>
        </m:sSub>
        <m:r>
          <w:rPr>
            <w:rFonts w:ascii="Cambria Math" w:eastAsiaTheme="minorEastAsia" w:hAnsi="Cambria Math" w:cs="Times New Roman"/>
          </w:rPr>
          <m:t>)</m:t>
        </m:r>
      </m:oMath>
      <w:r w:rsidRPr="00D42E39">
        <w:rPr>
          <w:rFonts w:ascii="Times New Roman" w:eastAsiaTheme="minorEastAsia" w:hAnsi="Times New Roman" w:cs="Times New Roman"/>
        </w:rPr>
        <w:t xml:space="preserve">. </w:t>
      </w:r>
    </w:p>
    <w:p w14:paraId="32E9063B" w14:textId="6233035A" w:rsidR="002E66D2" w:rsidRPr="00D42E39" w:rsidRDefault="002E66D2" w:rsidP="00CA64D1">
      <w:pPr>
        <w:pStyle w:val="ListParagraph"/>
        <w:numPr>
          <w:ilvl w:val="0"/>
          <w:numId w:val="4"/>
        </w:numPr>
        <w:spacing w:after="0" w:line="240" w:lineRule="auto"/>
        <w:ind w:left="993" w:hanging="426"/>
        <w:jc w:val="both"/>
        <w:rPr>
          <w:rFonts w:ascii="Times New Roman" w:hAnsi="Times New Roman" w:cs="Times New Roman"/>
        </w:rPr>
      </w:pPr>
      <w:r w:rsidRPr="00D42E39">
        <w:rPr>
          <w:rFonts w:ascii="Times New Roman" w:eastAsiaTheme="minorEastAsia" w:hAnsi="Times New Roman" w:cs="Times New Roman"/>
        </w:rPr>
        <w:t xml:space="preserve">The pure contribution of each predictor is estimated by multiplying the </w:t>
      </w:r>
      <w:r w:rsidRPr="006C7509">
        <w:rPr>
          <w:rFonts w:ascii="Times New Roman" w:eastAsiaTheme="minorEastAsia" w:hAnsi="Times New Roman" w:cs="Times New Roman"/>
          <w:color w:val="000000" w:themeColor="text1"/>
        </w:rPr>
        <w:t xml:space="preserve">health </w:t>
      </w:r>
      <w:r w:rsidRPr="006C7509">
        <w:rPr>
          <w:rFonts w:ascii="Times New Roman" w:hAnsi="Times New Roman" w:cs="Times New Roman"/>
          <w:color w:val="000000" w:themeColor="text1"/>
        </w:rPr>
        <w:t xml:space="preserve">(or other) </w:t>
      </w:r>
      <w:r w:rsidRPr="00D42E39">
        <w:rPr>
          <w:rFonts w:ascii="Times New Roman" w:hAnsi="Times New Roman" w:cs="Times New Roman"/>
        </w:rPr>
        <w:t>variable</w:t>
      </w:r>
      <w:r w:rsidRPr="00D42E39">
        <w:rPr>
          <w:rFonts w:ascii="Times New Roman" w:eastAsiaTheme="minorEastAsia" w:hAnsi="Times New Roman" w:cs="Times New Roman"/>
        </w:rPr>
        <w:t xml:space="preserve"> elasticity with respect to the predictor and its concentration index</w:t>
      </w:r>
      <w:r w:rsidR="007C48FA">
        <w:rPr>
          <w:rFonts w:ascii="Times New Roman" w:eastAsiaTheme="minorEastAsia" w:hAnsi="Times New Roman" w:cs="Times New Roman"/>
        </w:rPr>
        <w:t xml:space="preserve"> </w:t>
      </w:r>
      <m:oMath>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k</m:t>
                    </m:r>
                  </m:sub>
                </m:sSub>
                <m:sSub>
                  <m:sSubPr>
                    <m:ctrlPr>
                      <w:rPr>
                        <w:rFonts w:ascii="Cambria Math" w:eastAsiaTheme="minorEastAsia" w:hAnsi="Cambria Math" w:cs="Times New Roman"/>
                        <w:i/>
                      </w:rPr>
                    </m:ctrlPr>
                  </m:sSubPr>
                  <m:e>
                    <m:bar>
                      <m:barPr>
                        <m:pos m:val="top"/>
                        <m:ctrlPr>
                          <w:rPr>
                            <w:rFonts w:ascii="Cambria Math" w:eastAsiaTheme="minorEastAsia" w:hAnsi="Cambria Math" w:cs="Times New Roman"/>
                            <w:i/>
                          </w:rPr>
                        </m:ctrlPr>
                      </m:barPr>
                      <m:e>
                        <m:r>
                          <w:rPr>
                            <w:rFonts w:ascii="Cambria Math" w:eastAsiaTheme="minorEastAsia" w:hAnsi="Cambria Math" w:cs="Times New Roman"/>
                          </w:rPr>
                          <m:t>x</m:t>
                        </m:r>
                      </m:e>
                    </m:bar>
                  </m:e>
                  <m:sub>
                    <m:r>
                      <w:rPr>
                        <w:rFonts w:ascii="Cambria Math" w:eastAsiaTheme="minorEastAsia" w:hAnsi="Cambria Math" w:cs="Times New Roman"/>
                      </w:rPr>
                      <m:t>k</m:t>
                    </m:r>
                  </m:sub>
                </m:sSub>
              </m:num>
              <m:den>
                <m:r>
                  <w:rPr>
                    <w:rFonts w:ascii="Cambria Math" w:eastAsiaTheme="minorEastAsia" w:hAnsi="Cambria Math" w:cs="Times New Roman"/>
                  </w:rPr>
                  <m:t>μ</m:t>
                </m:r>
              </m:den>
            </m:f>
          </m:e>
        </m:d>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k</m:t>
            </m:r>
          </m:sub>
        </m:sSub>
      </m:oMath>
      <w:r w:rsidRPr="00D42E39">
        <w:rPr>
          <w:rFonts w:ascii="Times New Roman" w:eastAsiaTheme="minorEastAsia" w:hAnsi="Times New Roman" w:cs="Times New Roman"/>
        </w:rPr>
        <w:t xml:space="preserve">. </w:t>
      </w:r>
    </w:p>
    <w:p w14:paraId="30A0DF33" w14:textId="7710B3A5" w:rsidR="002E66D2" w:rsidRPr="00D42E39" w:rsidRDefault="002E66D2" w:rsidP="00CA64D1">
      <w:pPr>
        <w:pStyle w:val="ListParagraph"/>
        <w:numPr>
          <w:ilvl w:val="0"/>
          <w:numId w:val="4"/>
        </w:numPr>
        <w:spacing w:after="0" w:line="240" w:lineRule="auto"/>
        <w:ind w:left="993" w:hanging="426"/>
        <w:jc w:val="both"/>
        <w:rPr>
          <w:rFonts w:ascii="Times New Roman" w:hAnsi="Times New Roman" w:cs="Times New Roman"/>
        </w:rPr>
      </w:pPr>
      <w:r w:rsidRPr="00D42E39">
        <w:rPr>
          <w:rFonts w:ascii="Times New Roman" w:eastAsiaTheme="minorEastAsia" w:hAnsi="Times New Roman" w:cs="Times New Roman"/>
        </w:rPr>
        <w:t xml:space="preserve">Percentage contribution of each predictor is calculated by dividing its pure contribution by the concentration index of health variable </w:t>
      </w:r>
      <m:oMath>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β</m:t>
                    </m:r>
                  </m:e>
                  <m:sub>
                    <m:r>
                      <w:rPr>
                        <w:rFonts w:ascii="Cambria Math" w:eastAsiaTheme="minorEastAsia" w:hAnsi="Cambria Math" w:cs="Times New Roman"/>
                      </w:rPr>
                      <m:t>k</m:t>
                    </m:r>
                  </m:sub>
                </m:sSub>
                <m:sSub>
                  <m:sSubPr>
                    <m:ctrlPr>
                      <w:rPr>
                        <w:rFonts w:ascii="Cambria Math" w:eastAsiaTheme="minorEastAsia" w:hAnsi="Cambria Math" w:cs="Times New Roman"/>
                        <w:i/>
                      </w:rPr>
                    </m:ctrlPr>
                  </m:sSubPr>
                  <m:e>
                    <m:bar>
                      <m:barPr>
                        <m:pos m:val="top"/>
                        <m:ctrlPr>
                          <w:rPr>
                            <w:rFonts w:ascii="Cambria Math" w:eastAsiaTheme="minorEastAsia" w:hAnsi="Cambria Math" w:cs="Times New Roman"/>
                            <w:i/>
                          </w:rPr>
                        </m:ctrlPr>
                      </m:barPr>
                      <m:e>
                        <m:r>
                          <w:rPr>
                            <w:rFonts w:ascii="Cambria Math" w:eastAsiaTheme="minorEastAsia" w:hAnsi="Cambria Math" w:cs="Times New Roman"/>
                          </w:rPr>
                          <m:t>x</m:t>
                        </m:r>
                      </m:e>
                    </m:bar>
                  </m:e>
                  <m:sub>
                    <m:r>
                      <w:rPr>
                        <w:rFonts w:ascii="Cambria Math" w:eastAsiaTheme="minorEastAsia" w:hAnsi="Cambria Math" w:cs="Times New Roman"/>
                      </w:rPr>
                      <m:t>k</m:t>
                    </m:r>
                  </m:sub>
                </m:sSub>
              </m:num>
              <m:den>
                <m:r>
                  <w:rPr>
                    <w:rFonts w:ascii="Cambria Math" w:eastAsiaTheme="minorEastAsia" w:hAnsi="Cambria Math" w:cs="Times New Roman"/>
                  </w:rPr>
                  <m:t>μ</m:t>
                </m:r>
              </m:den>
            </m:f>
          </m:e>
        </m:d>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k</m:t>
                </m:r>
              </m:sub>
            </m:sSub>
          </m:num>
          <m:den>
            <m:r>
              <w:rPr>
                <w:rFonts w:ascii="Cambria Math" w:eastAsiaTheme="minorEastAsia" w:hAnsi="Cambria Math" w:cs="Times New Roman"/>
              </w:rPr>
              <m:t>C</m:t>
            </m:r>
          </m:den>
        </m:f>
        <m:r>
          <w:rPr>
            <w:rFonts w:ascii="Cambria Math" w:eastAsiaTheme="minorEastAsia" w:hAnsi="Cambria Math" w:cs="Times New Roman"/>
          </w:rPr>
          <m:t xml:space="preserve">. </m:t>
        </m:r>
      </m:oMath>
      <w:r w:rsidRPr="00D42E39">
        <w:rPr>
          <w:rFonts w:ascii="Times New Roman" w:eastAsiaTheme="minorEastAsia" w:hAnsi="Times New Roman" w:cs="Times New Roman"/>
        </w:rPr>
        <w:t xml:space="preserve"> </w:t>
      </w:r>
    </w:p>
    <w:p w14:paraId="269F723C" w14:textId="77777777" w:rsidR="002E66D2" w:rsidRPr="00D42E39" w:rsidRDefault="002E66D2" w:rsidP="00D42E39">
      <w:pPr>
        <w:pStyle w:val="ListParagraph"/>
        <w:spacing w:after="0" w:line="240" w:lineRule="auto"/>
        <w:ind w:left="0" w:firstLine="567"/>
        <w:rPr>
          <w:rFonts w:ascii="Times New Roman" w:hAnsi="Times New Roman" w:cs="Times New Roman"/>
        </w:rPr>
      </w:pPr>
    </w:p>
    <w:p w14:paraId="4DEE1EF2" w14:textId="5C4673D2" w:rsidR="002E66D2" w:rsidRPr="00D42E39" w:rsidRDefault="002E66D2" w:rsidP="00D42E39">
      <w:pPr>
        <w:autoSpaceDE w:val="0"/>
        <w:autoSpaceDN w:val="0"/>
        <w:adjustRightInd w:val="0"/>
        <w:spacing w:after="0" w:line="240" w:lineRule="auto"/>
        <w:ind w:firstLine="567"/>
        <w:jc w:val="both"/>
        <w:rPr>
          <w:rFonts w:ascii="Times New Roman" w:hAnsi="Times New Roman" w:cs="Times New Roman"/>
        </w:rPr>
      </w:pPr>
      <w:r w:rsidRPr="00D42E39">
        <w:rPr>
          <w:rFonts w:ascii="Times New Roman" w:hAnsi="Times New Roman" w:cs="Times New Roman"/>
        </w:rPr>
        <w:t xml:space="preserve">The analysis was performed using STATA </w:t>
      </w:r>
      <w:r w:rsidR="007C48FA">
        <w:rPr>
          <w:rFonts w:ascii="Times New Roman" w:hAnsi="Times New Roman" w:cs="Times New Roman"/>
        </w:rPr>
        <w:t>(</w:t>
      </w:r>
      <w:r w:rsidRPr="00D42E39">
        <w:rPr>
          <w:rFonts w:ascii="Times New Roman" w:hAnsi="Times New Roman" w:cs="Times New Roman"/>
        </w:rPr>
        <w:t>version 13</w:t>
      </w:r>
      <w:r w:rsidR="007C48FA">
        <w:rPr>
          <w:rFonts w:ascii="Times New Roman" w:hAnsi="Times New Roman" w:cs="Times New Roman"/>
        </w:rPr>
        <w:t>)</w:t>
      </w:r>
      <w:r w:rsidRPr="00D42E39">
        <w:rPr>
          <w:rFonts w:ascii="Times New Roman" w:hAnsi="Times New Roman" w:cs="Times New Roman"/>
        </w:rPr>
        <w:t xml:space="preserve"> and ADePT </w:t>
      </w:r>
      <w:r w:rsidR="007C48FA">
        <w:rPr>
          <w:rFonts w:ascii="Times New Roman" w:hAnsi="Times New Roman" w:cs="Times New Roman"/>
        </w:rPr>
        <w:t>(</w:t>
      </w:r>
      <w:r w:rsidRPr="00D42E39">
        <w:rPr>
          <w:rFonts w:ascii="Times New Roman" w:hAnsi="Times New Roman" w:cs="Times New Roman"/>
        </w:rPr>
        <w:t>version 5.0</w:t>
      </w:r>
      <w:r w:rsidR="007C48FA">
        <w:rPr>
          <w:rFonts w:ascii="Times New Roman" w:hAnsi="Times New Roman" w:cs="Times New Roman"/>
        </w:rPr>
        <w:t>)</w:t>
      </w:r>
      <w:r w:rsidR="00434328">
        <w:rPr>
          <w:rFonts w:ascii="Times New Roman" w:hAnsi="Times New Roman" w:cs="Times New Roman"/>
        </w:rPr>
        <w:t xml:space="preserve"> of</w:t>
      </w:r>
      <w:r w:rsidR="007C48FA">
        <w:rPr>
          <w:rFonts w:ascii="Times New Roman" w:hAnsi="Times New Roman" w:cs="Times New Roman"/>
        </w:rPr>
        <w:t xml:space="preserve"> </w:t>
      </w:r>
      <w:r w:rsidRPr="00D42E39">
        <w:rPr>
          <w:rFonts w:ascii="Times New Roman" w:hAnsi="Times New Roman" w:cs="Times New Roman"/>
        </w:rPr>
        <w:t xml:space="preserve">World Bank. </w:t>
      </w:r>
    </w:p>
    <w:p w14:paraId="4325F7C4" w14:textId="77777777" w:rsidR="002E66D2" w:rsidRPr="00CA64D1" w:rsidRDefault="002E66D2" w:rsidP="00CA64D1">
      <w:pPr>
        <w:spacing w:after="0" w:line="240" w:lineRule="auto"/>
        <w:ind w:firstLine="567"/>
        <w:jc w:val="both"/>
        <w:rPr>
          <w:rFonts w:ascii="Times New Roman" w:hAnsi="Times New Roman" w:cs="Times New Roman"/>
          <w:b/>
        </w:rPr>
      </w:pPr>
    </w:p>
    <w:p w14:paraId="229EE97B" w14:textId="47E414B6" w:rsidR="002E66D2" w:rsidRPr="00CA64D1" w:rsidRDefault="00CA64D1" w:rsidP="00CA64D1">
      <w:pPr>
        <w:spacing w:after="0" w:line="240" w:lineRule="auto"/>
        <w:jc w:val="both"/>
        <w:rPr>
          <w:rFonts w:asciiTheme="minorBidi" w:hAnsiTheme="minorBidi" w:cs="Times New Roman"/>
          <w:b/>
        </w:rPr>
      </w:pPr>
      <w:r w:rsidRPr="00CA64D1">
        <w:rPr>
          <w:rFonts w:asciiTheme="minorBidi" w:hAnsiTheme="minorBidi" w:cs="Times New Roman"/>
          <w:b/>
        </w:rPr>
        <w:t xml:space="preserve">III. </w:t>
      </w:r>
      <w:r w:rsidR="002E66D2" w:rsidRPr="00CA64D1">
        <w:rPr>
          <w:rFonts w:asciiTheme="minorBidi" w:hAnsiTheme="minorBidi" w:cs="Times New Roman"/>
          <w:b/>
        </w:rPr>
        <w:t>Results</w:t>
      </w:r>
    </w:p>
    <w:p w14:paraId="4BB44FC6" w14:textId="77777777" w:rsidR="00CA64D1" w:rsidRDefault="00CA64D1" w:rsidP="00CA64D1">
      <w:pPr>
        <w:spacing w:after="0" w:line="240" w:lineRule="auto"/>
        <w:jc w:val="both"/>
        <w:rPr>
          <w:rFonts w:asciiTheme="minorBidi" w:hAnsiTheme="minorBidi" w:cs="Times New Roman"/>
          <w:b/>
          <w:i/>
        </w:rPr>
      </w:pPr>
    </w:p>
    <w:p w14:paraId="456FCDE7" w14:textId="0862A72E" w:rsidR="002E66D2" w:rsidRPr="00CA64D1" w:rsidRDefault="002E66D2" w:rsidP="00CA64D1">
      <w:pPr>
        <w:spacing w:after="0" w:line="240" w:lineRule="auto"/>
        <w:jc w:val="both"/>
        <w:rPr>
          <w:rFonts w:asciiTheme="minorBidi" w:hAnsiTheme="minorBidi" w:cs="Times New Roman"/>
          <w:i/>
        </w:rPr>
      </w:pPr>
      <w:r w:rsidRPr="00CA64D1">
        <w:rPr>
          <w:rFonts w:asciiTheme="minorBidi" w:hAnsiTheme="minorBidi" w:cs="Times New Roman"/>
          <w:i/>
        </w:rPr>
        <w:t>Prevalence of sanitary napkin use in the states of India</w:t>
      </w:r>
    </w:p>
    <w:p w14:paraId="4AFD3B31" w14:textId="77777777" w:rsidR="00CA64D1" w:rsidRDefault="00CA64D1" w:rsidP="00CA64D1">
      <w:pPr>
        <w:spacing w:after="0" w:line="240" w:lineRule="auto"/>
        <w:ind w:firstLine="567"/>
        <w:jc w:val="both"/>
        <w:rPr>
          <w:rFonts w:asciiTheme="minorBidi" w:hAnsiTheme="minorBidi" w:cs="Times New Roman"/>
        </w:rPr>
      </w:pPr>
    </w:p>
    <w:p w14:paraId="6D3AF5ED" w14:textId="5F17A86F" w:rsidR="002E66D2" w:rsidRPr="00CA64D1" w:rsidRDefault="002E66D2" w:rsidP="00CA64D1">
      <w:pPr>
        <w:spacing w:after="0" w:line="240" w:lineRule="auto"/>
        <w:ind w:firstLine="567"/>
        <w:jc w:val="both"/>
        <w:rPr>
          <w:rFonts w:asciiTheme="minorBidi" w:hAnsiTheme="minorBidi" w:cs="Times New Roman"/>
        </w:rPr>
      </w:pPr>
      <w:r w:rsidRPr="00CA64D1">
        <w:rPr>
          <w:rFonts w:asciiTheme="minorBidi" w:hAnsiTheme="minorBidi" w:cs="Times New Roman"/>
        </w:rPr>
        <w:t>One-third (32</w:t>
      </w:r>
      <w:r w:rsidR="00BC36F7">
        <w:rPr>
          <w:rFonts w:asciiTheme="minorBidi" w:hAnsiTheme="minorBidi" w:cs="Times New Roman"/>
        </w:rPr>
        <w:t>%</w:t>
      </w:r>
      <w:r w:rsidRPr="00CA64D1">
        <w:rPr>
          <w:rFonts w:asciiTheme="minorBidi" w:hAnsiTheme="minorBidi" w:cs="Times New Roman"/>
        </w:rPr>
        <w:t>) of the adolescent and young unmarried women used sanitary napkins during menstruation to absorb menstrual blood in India (Fig</w:t>
      </w:r>
      <w:r w:rsidR="00DF3D4B">
        <w:rPr>
          <w:rFonts w:asciiTheme="minorBidi" w:hAnsiTheme="minorBidi" w:cs="Times New Roman"/>
        </w:rPr>
        <w:t>ure</w:t>
      </w:r>
      <w:r w:rsidRPr="00CA64D1">
        <w:rPr>
          <w:rFonts w:asciiTheme="minorBidi" w:hAnsiTheme="minorBidi" w:cs="Times New Roman"/>
        </w:rPr>
        <w:t xml:space="preserve"> 1). Noticeably, all the EAG states excluding Uttarakhand were below the national average in the</w:t>
      </w:r>
      <w:r w:rsidR="00394557">
        <w:rPr>
          <w:rFonts w:asciiTheme="minorBidi" w:hAnsiTheme="minorBidi" w:cs="Times New Roman"/>
        </w:rPr>
        <w:t>ir</w:t>
      </w:r>
      <w:r w:rsidRPr="00CA64D1">
        <w:rPr>
          <w:rFonts w:asciiTheme="minorBidi" w:hAnsiTheme="minorBidi" w:cs="Times New Roman"/>
        </w:rPr>
        <w:t xml:space="preserve"> use. Other states such as Maharashtra, Karnataka, West Bengal, Meghalaya, Gujarat, and Assam were also below the national average in the</w:t>
      </w:r>
      <w:r w:rsidR="00394557">
        <w:rPr>
          <w:rFonts w:asciiTheme="minorBidi" w:hAnsiTheme="minorBidi" w:cs="Times New Roman"/>
        </w:rPr>
        <w:t>ir</w:t>
      </w:r>
      <w:r w:rsidRPr="00CA64D1">
        <w:rPr>
          <w:rFonts w:asciiTheme="minorBidi" w:hAnsiTheme="minorBidi" w:cs="Times New Roman"/>
        </w:rPr>
        <w:t xml:space="preserve"> use. The lowest prevalence in the</w:t>
      </w:r>
      <w:r w:rsidR="00394557">
        <w:rPr>
          <w:rFonts w:asciiTheme="minorBidi" w:hAnsiTheme="minorBidi" w:cs="Times New Roman"/>
        </w:rPr>
        <w:t>ir</w:t>
      </w:r>
      <w:r w:rsidRPr="00CA64D1">
        <w:rPr>
          <w:rFonts w:asciiTheme="minorBidi" w:hAnsiTheme="minorBidi" w:cs="Times New Roman"/>
        </w:rPr>
        <w:t xml:space="preserve"> use amongst others were Chhattisgarh (10</w:t>
      </w:r>
      <w:r w:rsidR="00BC36F7">
        <w:rPr>
          <w:rFonts w:asciiTheme="minorBidi" w:hAnsiTheme="minorBidi" w:cs="Times New Roman"/>
        </w:rPr>
        <w:t>%</w:t>
      </w:r>
      <w:r w:rsidRPr="00CA64D1">
        <w:rPr>
          <w:rFonts w:asciiTheme="minorBidi" w:hAnsiTheme="minorBidi" w:cs="Times New Roman"/>
        </w:rPr>
        <w:t>), followed by Bihar (14</w:t>
      </w:r>
      <w:r w:rsidR="00BC36F7">
        <w:rPr>
          <w:rFonts w:asciiTheme="minorBidi" w:hAnsiTheme="minorBidi" w:cs="Times New Roman"/>
        </w:rPr>
        <w:t>%</w:t>
      </w:r>
      <w:r w:rsidRPr="00CA64D1">
        <w:rPr>
          <w:rFonts w:asciiTheme="minorBidi" w:hAnsiTheme="minorBidi" w:cs="Times New Roman"/>
        </w:rPr>
        <w:t xml:space="preserve">) and </w:t>
      </w:r>
      <w:r w:rsidR="0091258C">
        <w:rPr>
          <w:rFonts w:asciiTheme="minorBidi" w:hAnsiTheme="minorBidi" w:cs="Times New Roman"/>
        </w:rPr>
        <w:t>Orissa</w:t>
      </w:r>
      <w:r w:rsidRPr="00CA64D1">
        <w:rPr>
          <w:rFonts w:asciiTheme="minorBidi" w:hAnsiTheme="minorBidi" w:cs="Times New Roman"/>
        </w:rPr>
        <w:t xml:space="preserve"> (15</w:t>
      </w:r>
      <w:r w:rsidR="00BC36F7">
        <w:rPr>
          <w:rFonts w:asciiTheme="minorBidi" w:hAnsiTheme="minorBidi" w:cs="Times New Roman"/>
        </w:rPr>
        <w:t>%</w:t>
      </w:r>
      <w:r w:rsidRPr="00CA64D1">
        <w:rPr>
          <w:rFonts w:asciiTheme="minorBidi" w:hAnsiTheme="minorBidi" w:cs="Times New Roman"/>
        </w:rPr>
        <w:t xml:space="preserve">). The states where the majority of the adolescent and young unmarried women used </w:t>
      </w:r>
      <w:r w:rsidR="00394557">
        <w:rPr>
          <w:rFonts w:asciiTheme="minorBidi" w:hAnsiTheme="minorBidi" w:cs="Times New Roman"/>
        </w:rPr>
        <w:t xml:space="preserve">them </w:t>
      </w:r>
      <w:r w:rsidRPr="00CA64D1">
        <w:rPr>
          <w:rFonts w:asciiTheme="minorBidi" w:hAnsiTheme="minorBidi" w:cs="Times New Roman"/>
        </w:rPr>
        <w:t>were Mizoram (87</w:t>
      </w:r>
      <w:r w:rsidR="00BC36F7">
        <w:rPr>
          <w:rFonts w:asciiTheme="minorBidi" w:hAnsiTheme="minorBidi" w:cs="Times New Roman"/>
        </w:rPr>
        <w:t>%</w:t>
      </w:r>
      <w:r w:rsidRPr="00CA64D1">
        <w:rPr>
          <w:rFonts w:asciiTheme="minorBidi" w:hAnsiTheme="minorBidi" w:cs="Times New Roman"/>
        </w:rPr>
        <w:t>), Arunachal Pradesh (75</w:t>
      </w:r>
      <w:r w:rsidR="00BC36F7">
        <w:rPr>
          <w:rFonts w:asciiTheme="minorBidi" w:hAnsiTheme="minorBidi" w:cs="Times New Roman"/>
        </w:rPr>
        <w:t>%</w:t>
      </w:r>
      <w:r w:rsidRPr="00CA64D1">
        <w:rPr>
          <w:rFonts w:asciiTheme="minorBidi" w:hAnsiTheme="minorBidi" w:cs="Times New Roman"/>
        </w:rPr>
        <w:t>), Sikkim (61</w:t>
      </w:r>
      <w:r w:rsidR="00BC36F7">
        <w:rPr>
          <w:rFonts w:asciiTheme="minorBidi" w:hAnsiTheme="minorBidi" w:cs="Times New Roman"/>
        </w:rPr>
        <w:t>%</w:t>
      </w:r>
      <w:r w:rsidRPr="00CA64D1">
        <w:rPr>
          <w:rFonts w:asciiTheme="minorBidi" w:hAnsiTheme="minorBidi" w:cs="Times New Roman"/>
        </w:rPr>
        <w:t>), Kerala (61</w:t>
      </w:r>
      <w:r w:rsidR="00BC36F7">
        <w:rPr>
          <w:rFonts w:asciiTheme="minorBidi" w:hAnsiTheme="minorBidi" w:cs="Times New Roman"/>
        </w:rPr>
        <w:t>%</w:t>
      </w:r>
      <w:r w:rsidRPr="00CA64D1">
        <w:rPr>
          <w:rFonts w:asciiTheme="minorBidi" w:hAnsiTheme="minorBidi" w:cs="Times New Roman"/>
        </w:rPr>
        <w:t>), Goa (57</w:t>
      </w:r>
      <w:r w:rsidR="00BC36F7">
        <w:rPr>
          <w:rFonts w:asciiTheme="minorBidi" w:hAnsiTheme="minorBidi" w:cs="Times New Roman"/>
        </w:rPr>
        <w:t>%</w:t>
      </w:r>
      <w:r w:rsidRPr="00CA64D1">
        <w:rPr>
          <w:rFonts w:asciiTheme="minorBidi" w:hAnsiTheme="minorBidi" w:cs="Times New Roman"/>
        </w:rPr>
        <w:t>) and Tamil Nadu (53</w:t>
      </w:r>
      <w:r w:rsidR="00BC36F7">
        <w:rPr>
          <w:rFonts w:asciiTheme="minorBidi" w:hAnsiTheme="minorBidi" w:cs="Times New Roman"/>
        </w:rPr>
        <w:t>%</w:t>
      </w:r>
      <w:r w:rsidRPr="00CA64D1">
        <w:rPr>
          <w:rFonts w:asciiTheme="minorBidi" w:hAnsiTheme="minorBidi" w:cs="Times New Roman"/>
        </w:rPr>
        <w:t>). On the other hand,</w:t>
      </w:r>
      <w:r w:rsidR="0091258C">
        <w:rPr>
          <w:rFonts w:asciiTheme="minorBidi" w:hAnsiTheme="minorBidi" w:cs="Times New Roman"/>
        </w:rPr>
        <w:t xml:space="preserve"> the</w:t>
      </w:r>
      <w:r w:rsidR="00394557">
        <w:rPr>
          <w:rFonts w:asciiTheme="minorBidi" w:hAnsiTheme="minorBidi" w:cs="Times New Roman"/>
        </w:rPr>
        <w:t>ir</w:t>
      </w:r>
      <w:r w:rsidR="0091258C">
        <w:rPr>
          <w:rFonts w:asciiTheme="minorBidi" w:hAnsiTheme="minorBidi" w:cs="Times New Roman"/>
        </w:rPr>
        <w:t xml:space="preserve"> use was between 40 to 50 </w:t>
      </w:r>
      <w:r w:rsidR="005E235D">
        <w:rPr>
          <w:rFonts w:asciiTheme="minorBidi" w:hAnsiTheme="minorBidi" w:cs="Times New Roman"/>
        </w:rPr>
        <w:t>per cent</w:t>
      </w:r>
      <w:r w:rsidR="0091258C">
        <w:rPr>
          <w:rFonts w:asciiTheme="minorBidi" w:hAnsiTheme="minorBidi" w:cs="Times New Roman"/>
        </w:rPr>
        <w:t xml:space="preserve"> in</w:t>
      </w:r>
      <w:r w:rsidRPr="00CA64D1">
        <w:rPr>
          <w:rFonts w:asciiTheme="minorBidi" w:hAnsiTheme="minorBidi" w:cs="Times New Roman"/>
        </w:rPr>
        <w:t xml:space="preserve"> Himachal Pradesh, Uttarakhand, Punjab, Haryana and Jammu </w:t>
      </w:r>
      <w:r w:rsidR="00F158B1">
        <w:rPr>
          <w:rFonts w:asciiTheme="minorBidi" w:hAnsiTheme="minorBidi" w:cs="Times New Roman"/>
        </w:rPr>
        <w:t>&amp;</w:t>
      </w:r>
      <w:r w:rsidRPr="00CA64D1">
        <w:rPr>
          <w:rFonts w:asciiTheme="minorBidi" w:hAnsiTheme="minorBidi" w:cs="Times New Roman"/>
        </w:rPr>
        <w:t xml:space="preserve"> Kashmir</w:t>
      </w:r>
      <w:r w:rsidR="0091258C">
        <w:rPr>
          <w:rFonts w:asciiTheme="minorBidi" w:hAnsiTheme="minorBidi" w:cs="Times New Roman"/>
        </w:rPr>
        <w:t xml:space="preserve">. </w:t>
      </w:r>
    </w:p>
    <w:p w14:paraId="4D14CEE0" w14:textId="77777777" w:rsidR="00CA64D1" w:rsidRDefault="00CA64D1" w:rsidP="00CA64D1">
      <w:pPr>
        <w:spacing w:after="0" w:line="240" w:lineRule="auto"/>
        <w:ind w:firstLine="567"/>
        <w:jc w:val="both"/>
        <w:rPr>
          <w:rFonts w:asciiTheme="minorBidi" w:hAnsiTheme="minorBidi" w:cs="Times New Roman"/>
          <w:b/>
        </w:rPr>
      </w:pPr>
    </w:p>
    <w:p w14:paraId="6C1D8521" w14:textId="77777777" w:rsidR="00DF3D4B" w:rsidRPr="00CA64D1" w:rsidRDefault="00DF3D4B" w:rsidP="00DF3D4B">
      <w:pPr>
        <w:spacing w:after="0" w:line="240" w:lineRule="auto"/>
        <w:jc w:val="both"/>
        <w:rPr>
          <w:rFonts w:asciiTheme="minorBidi" w:hAnsiTheme="minorBidi" w:cs="Times New Roman"/>
          <w:i/>
        </w:rPr>
      </w:pPr>
      <w:r w:rsidRPr="00CA64D1">
        <w:rPr>
          <w:rFonts w:asciiTheme="minorBidi" w:hAnsiTheme="minorBidi" w:cs="Times New Roman"/>
          <w:i/>
        </w:rPr>
        <w:t xml:space="preserve">Socio-economic inequalities in the use of sanitary napkins </w:t>
      </w:r>
    </w:p>
    <w:p w14:paraId="43893734" w14:textId="77777777" w:rsidR="00DF3D4B" w:rsidRDefault="00DF3D4B" w:rsidP="00DF3D4B">
      <w:pPr>
        <w:spacing w:after="0" w:line="240" w:lineRule="auto"/>
        <w:ind w:firstLine="567"/>
        <w:jc w:val="both"/>
        <w:rPr>
          <w:rFonts w:asciiTheme="minorBidi" w:hAnsiTheme="minorBidi" w:cs="Times New Roman"/>
        </w:rPr>
      </w:pPr>
    </w:p>
    <w:p w14:paraId="0217953E" w14:textId="65ED091B" w:rsidR="00DF3D4B" w:rsidRPr="00CA64D1" w:rsidRDefault="00DF3D4B" w:rsidP="00DF3D4B">
      <w:pPr>
        <w:spacing w:after="0" w:line="240" w:lineRule="auto"/>
        <w:ind w:firstLine="567"/>
        <w:jc w:val="both"/>
        <w:rPr>
          <w:rFonts w:asciiTheme="minorBidi" w:hAnsiTheme="minorBidi" w:cs="Times New Roman"/>
        </w:rPr>
      </w:pPr>
      <w:r w:rsidRPr="00CA64D1">
        <w:rPr>
          <w:rFonts w:asciiTheme="minorBidi" w:hAnsiTheme="minorBidi" w:cs="Times New Roman"/>
        </w:rPr>
        <w:t>Concentration index value showing inequality in the</w:t>
      </w:r>
      <w:r w:rsidR="00394557">
        <w:rPr>
          <w:rFonts w:asciiTheme="minorBidi" w:hAnsiTheme="minorBidi" w:cs="Times New Roman"/>
        </w:rPr>
        <w:t>ir</w:t>
      </w:r>
      <w:r w:rsidRPr="00CA64D1">
        <w:rPr>
          <w:rFonts w:asciiTheme="minorBidi" w:hAnsiTheme="minorBidi" w:cs="Times New Roman"/>
        </w:rPr>
        <w:t xml:space="preserve"> use at all India level is positive (0.363)</w:t>
      </w:r>
      <w:r w:rsidR="00394557">
        <w:rPr>
          <w:rFonts w:asciiTheme="minorBidi" w:hAnsiTheme="minorBidi" w:cs="Times New Roman"/>
        </w:rPr>
        <w:t>,</w:t>
      </w:r>
      <w:r w:rsidRPr="00CA64D1">
        <w:rPr>
          <w:rFonts w:asciiTheme="minorBidi" w:hAnsiTheme="minorBidi" w:cs="Times New Roman"/>
        </w:rPr>
        <w:t xml:space="preserve"> indicating the concentration of the</w:t>
      </w:r>
      <w:r w:rsidR="00394557">
        <w:rPr>
          <w:rFonts w:asciiTheme="minorBidi" w:hAnsiTheme="minorBidi" w:cs="Times New Roman"/>
        </w:rPr>
        <w:t>ir</w:t>
      </w:r>
      <w:r w:rsidRPr="00CA64D1">
        <w:rPr>
          <w:rFonts w:asciiTheme="minorBidi" w:hAnsiTheme="minorBidi" w:cs="Times New Roman"/>
        </w:rPr>
        <w:t xml:space="preserve"> use among the rich (</w:t>
      </w:r>
      <w:r>
        <w:rPr>
          <w:rFonts w:asciiTheme="minorBidi" w:hAnsiTheme="minorBidi" w:cs="Times New Roman"/>
        </w:rPr>
        <w:t>F</w:t>
      </w:r>
      <w:r w:rsidRPr="00CA64D1">
        <w:rPr>
          <w:rFonts w:asciiTheme="minorBidi" w:hAnsiTheme="minorBidi" w:cs="Times New Roman"/>
        </w:rPr>
        <w:t>ig</w:t>
      </w:r>
      <w:r>
        <w:rPr>
          <w:rFonts w:asciiTheme="minorBidi" w:hAnsiTheme="minorBidi" w:cs="Times New Roman"/>
        </w:rPr>
        <w:t>ure</w:t>
      </w:r>
      <w:r w:rsidRPr="00CA64D1">
        <w:rPr>
          <w:rFonts w:asciiTheme="minorBidi" w:hAnsiTheme="minorBidi" w:cs="Times New Roman"/>
        </w:rPr>
        <w:t xml:space="preserve"> 2). When we calculated the CI for the selected high-focus states, somewhat similar result emerged. The CI value was remarkably higher in the EAG states and Assam with </w:t>
      </w:r>
      <w:r w:rsidR="00394557">
        <w:rPr>
          <w:rFonts w:asciiTheme="minorBidi" w:hAnsiTheme="minorBidi" w:cs="Times New Roman"/>
        </w:rPr>
        <w:t xml:space="preserve">the </w:t>
      </w:r>
      <w:r w:rsidRPr="00CA64D1">
        <w:rPr>
          <w:rFonts w:asciiTheme="minorBidi" w:hAnsiTheme="minorBidi" w:cs="Times New Roman"/>
        </w:rPr>
        <w:t>exception o</w:t>
      </w:r>
      <w:r w:rsidR="00394557">
        <w:rPr>
          <w:rFonts w:asciiTheme="minorBidi" w:hAnsiTheme="minorBidi" w:cs="Times New Roman"/>
        </w:rPr>
        <w:t>f</w:t>
      </w:r>
      <w:r w:rsidRPr="00CA64D1">
        <w:rPr>
          <w:rFonts w:asciiTheme="minorBidi" w:hAnsiTheme="minorBidi" w:cs="Times New Roman"/>
        </w:rPr>
        <w:t xml:space="preserve"> Uttarakhand. Among the EAG states</w:t>
      </w:r>
      <w:r w:rsidR="005127DD">
        <w:rPr>
          <w:rFonts w:asciiTheme="minorBidi" w:hAnsiTheme="minorBidi" w:cs="Times New Roman"/>
        </w:rPr>
        <w:t>,</w:t>
      </w:r>
      <w:r w:rsidRPr="00CA64D1">
        <w:rPr>
          <w:rFonts w:asciiTheme="minorBidi" w:hAnsiTheme="minorBidi" w:cs="Times New Roman"/>
        </w:rPr>
        <w:t xml:space="preserve"> the value of CI was the highest in Chhattisgarh (0.692) followed by </w:t>
      </w:r>
      <w:r w:rsidR="0091258C">
        <w:rPr>
          <w:rFonts w:asciiTheme="minorBidi" w:hAnsiTheme="minorBidi" w:cs="Times New Roman"/>
        </w:rPr>
        <w:t>Orissa</w:t>
      </w:r>
      <w:r w:rsidRPr="00CA64D1">
        <w:rPr>
          <w:rFonts w:asciiTheme="minorBidi" w:hAnsiTheme="minorBidi" w:cs="Times New Roman"/>
        </w:rPr>
        <w:t xml:space="preserve"> (0.595), Jharkhand (0.571), Bihar (0.568), Uttar Pradesh (0.536), Madhya Pradesh (0.535), Assam (0.510) and Rajasthan (0.442). The higher values of CI in EAG states suggest a greater concentration of </w:t>
      </w:r>
      <w:r w:rsidR="00E81A05">
        <w:rPr>
          <w:rFonts w:asciiTheme="minorBidi" w:hAnsiTheme="minorBidi" w:cs="Times New Roman"/>
        </w:rPr>
        <w:t xml:space="preserve">their </w:t>
      </w:r>
      <w:r w:rsidRPr="00CA64D1">
        <w:rPr>
          <w:rFonts w:asciiTheme="minorBidi" w:hAnsiTheme="minorBidi" w:cs="Times New Roman"/>
        </w:rPr>
        <w:t xml:space="preserve">use among the socio-economically well-off stratum in the society. </w:t>
      </w:r>
    </w:p>
    <w:p w14:paraId="148A0AD6" w14:textId="77777777" w:rsidR="0045695D" w:rsidRDefault="0045695D" w:rsidP="00434328">
      <w:pPr>
        <w:spacing w:after="0" w:line="240" w:lineRule="auto"/>
        <w:jc w:val="both"/>
        <w:rPr>
          <w:rFonts w:ascii="Times New Roman" w:hAnsi="Times New Roman" w:cs="Times New Roman"/>
          <w:bCs/>
        </w:rPr>
      </w:pPr>
    </w:p>
    <w:p w14:paraId="6BCB7B68" w14:textId="7AA7DB03" w:rsidR="007C48FA" w:rsidRPr="007C48FA" w:rsidRDefault="007C48FA" w:rsidP="00434328">
      <w:pPr>
        <w:spacing w:after="0" w:line="240" w:lineRule="auto"/>
        <w:jc w:val="both"/>
        <w:rPr>
          <w:rFonts w:ascii="Times New Roman" w:hAnsi="Times New Roman" w:cs="Times New Roman"/>
        </w:rPr>
      </w:pPr>
      <w:r w:rsidRPr="007C48FA">
        <w:rPr>
          <w:rFonts w:ascii="Times New Roman" w:hAnsi="Times New Roman" w:cs="Times New Roman"/>
          <w:bCs/>
        </w:rPr>
        <w:lastRenderedPageBreak/>
        <w:t xml:space="preserve">Figure 1: </w:t>
      </w:r>
      <w:r w:rsidRPr="007C48FA">
        <w:rPr>
          <w:rFonts w:ascii="Times New Roman" w:hAnsi="Times New Roman" w:cs="Times New Roman"/>
        </w:rPr>
        <w:t xml:space="preserve">Utilization of </w:t>
      </w:r>
      <w:r w:rsidR="002A1838">
        <w:rPr>
          <w:rFonts w:ascii="Times New Roman" w:hAnsi="Times New Roman" w:cs="Times New Roman"/>
        </w:rPr>
        <w:t>s</w:t>
      </w:r>
      <w:r w:rsidRPr="007C48FA">
        <w:rPr>
          <w:rFonts w:ascii="Times New Roman" w:hAnsi="Times New Roman" w:cs="Times New Roman"/>
        </w:rPr>
        <w:t xml:space="preserve">anitary </w:t>
      </w:r>
      <w:r w:rsidR="002A1838">
        <w:rPr>
          <w:rFonts w:ascii="Times New Roman" w:hAnsi="Times New Roman" w:cs="Times New Roman"/>
        </w:rPr>
        <w:t>n</w:t>
      </w:r>
      <w:r w:rsidRPr="007C48FA">
        <w:rPr>
          <w:rFonts w:ascii="Times New Roman" w:hAnsi="Times New Roman" w:cs="Times New Roman"/>
        </w:rPr>
        <w:t xml:space="preserve">apkins by </w:t>
      </w:r>
      <w:r w:rsidR="002A1838">
        <w:rPr>
          <w:rFonts w:ascii="Times New Roman" w:hAnsi="Times New Roman" w:cs="Times New Roman"/>
        </w:rPr>
        <w:t>a</w:t>
      </w:r>
      <w:r w:rsidRPr="007C48FA">
        <w:rPr>
          <w:rFonts w:ascii="Times New Roman" w:hAnsi="Times New Roman" w:cs="Times New Roman"/>
        </w:rPr>
        <w:t>dolescent and young unmarried women in India and States, DLHS (2007-08)</w:t>
      </w:r>
    </w:p>
    <w:p w14:paraId="784A28F5" w14:textId="77777777" w:rsidR="007C48FA" w:rsidRPr="00892EE7" w:rsidRDefault="007C48FA" w:rsidP="007C48FA">
      <w:pPr>
        <w:spacing w:after="0" w:line="240" w:lineRule="auto"/>
        <w:rPr>
          <w:rFonts w:asciiTheme="minorBidi" w:hAnsiTheme="minorBidi"/>
          <w:sz w:val="24"/>
          <w:szCs w:val="24"/>
        </w:rPr>
      </w:pPr>
      <w:r>
        <w:rPr>
          <w:rFonts w:asciiTheme="minorBidi" w:hAnsiTheme="minorBidi"/>
          <w:noProof/>
          <w:sz w:val="24"/>
          <w:szCs w:val="24"/>
          <w:lang w:val="en-IN" w:eastAsia="en-IN"/>
        </w:rPr>
        <w:drawing>
          <wp:inline distT="0" distB="0" distL="0" distR="0" wp14:anchorId="501239A9" wp14:editId="663AEF92">
            <wp:extent cx="5553323" cy="2929911"/>
            <wp:effectExtent l="0" t="0" r="952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1.tiff"/>
                    <pic:cNvPicPr/>
                  </pic:nvPicPr>
                  <pic:blipFill>
                    <a:blip r:embed="rId8">
                      <a:extLst>
                        <a:ext uri="{28A0092B-C50C-407E-A947-70E740481C1C}">
                          <a14:useLocalDpi xmlns:a14="http://schemas.microsoft.com/office/drawing/2010/main" val="0"/>
                        </a:ext>
                      </a:extLst>
                    </a:blip>
                    <a:stretch>
                      <a:fillRect/>
                    </a:stretch>
                  </pic:blipFill>
                  <pic:spPr>
                    <a:xfrm>
                      <a:off x="0" y="0"/>
                      <a:ext cx="5583232" cy="2945691"/>
                    </a:xfrm>
                    <a:prstGeom prst="rect">
                      <a:avLst/>
                    </a:prstGeom>
                  </pic:spPr>
                </pic:pic>
              </a:graphicData>
            </a:graphic>
          </wp:inline>
        </w:drawing>
      </w:r>
    </w:p>
    <w:p w14:paraId="4FC76754" w14:textId="77777777" w:rsidR="007C48FA" w:rsidRPr="00CA64D1" w:rsidRDefault="007C48FA" w:rsidP="00CA64D1">
      <w:pPr>
        <w:spacing w:after="0" w:line="240" w:lineRule="auto"/>
        <w:ind w:firstLine="567"/>
        <w:jc w:val="both"/>
        <w:rPr>
          <w:rFonts w:asciiTheme="minorBidi" w:hAnsiTheme="minorBidi" w:cs="Times New Roman"/>
        </w:rPr>
      </w:pPr>
    </w:p>
    <w:p w14:paraId="5E362106" w14:textId="6AB3C377" w:rsidR="007C48FA" w:rsidRPr="007C48FA" w:rsidRDefault="007C48FA" w:rsidP="007C48FA">
      <w:pPr>
        <w:spacing w:after="0" w:line="240" w:lineRule="auto"/>
        <w:rPr>
          <w:rFonts w:ascii="Times New Roman" w:hAnsi="Times New Roman" w:cs="Times New Roman"/>
          <w:bCs/>
        </w:rPr>
      </w:pPr>
      <w:r w:rsidRPr="007C48FA">
        <w:rPr>
          <w:rFonts w:ascii="Times New Roman" w:hAnsi="Times New Roman" w:cs="Times New Roman"/>
          <w:bCs/>
        </w:rPr>
        <w:t xml:space="preserve">Figure 2: </w:t>
      </w:r>
      <w:r w:rsidRPr="007C48FA">
        <w:rPr>
          <w:rFonts w:ascii="Times New Roman" w:hAnsi="Times New Roman" w:cs="Times New Roman"/>
        </w:rPr>
        <w:t xml:space="preserve">Concentration index for utilization of </w:t>
      </w:r>
      <w:r w:rsidR="002A1838">
        <w:rPr>
          <w:rFonts w:ascii="Times New Roman" w:hAnsi="Times New Roman" w:cs="Times New Roman"/>
        </w:rPr>
        <w:t>s</w:t>
      </w:r>
      <w:r w:rsidRPr="007C48FA">
        <w:rPr>
          <w:rFonts w:ascii="Times New Roman" w:hAnsi="Times New Roman" w:cs="Times New Roman"/>
        </w:rPr>
        <w:t xml:space="preserve">anitary </w:t>
      </w:r>
      <w:r w:rsidR="002A1838">
        <w:rPr>
          <w:rFonts w:ascii="Times New Roman" w:hAnsi="Times New Roman" w:cs="Times New Roman"/>
        </w:rPr>
        <w:t>n</w:t>
      </w:r>
      <w:r w:rsidRPr="007C48FA">
        <w:rPr>
          <w:rFonts w:ascii="Times New Roman" w:hAnsi="Times New Roman" w:cs="Times New Roman"/>
        </w:rPr>
        <w:t xml:space="preserve">apkins in India, EAG </w:t>
      </w:r>
      <w:r w:rsidR="002A1838">
        <w:rPr>
          <w:rFonts w:ascii="Times New Roman" w:hAnsi="Times New Roman" w:cs="Times New Roman"/>
        </w:rPr>
        <w:t>S</w:t>
      </w:r>
      <w:r w:rsidRPr="007C48FA">
        <w:rPr>
          <w:rFonts w:ascii="Times New Roman" w:hAnsi="Times New Roman" w:cs="Times New Roman"/>
        </w:rPr>
        <w:t>tates and Assam</w:t>
      </w:r>
    </w:p>
    <w:p w14:paraId="5D9DC868" w14:textId="77777777" w:rsidR="007C48FA" w:rsidRDefault="007C48FA" w:rsidP="007C48FA">
      <w:pPr>
        <w:spacing w:after="0" w:line="240" w:lineRule="auto"/>
        <w:rPr>
          <w:rFonts w:asciiTheme="minorBidi" w:hAnsiTheme="minorBidi"/>
          <w:sz w:val="24"/>
          <w:szCs w:val="24"/>
        </w:rPr>
      </w:pPr>
      <w:r>
        <w:rPr>
          <w:rFonts w:asciiTheme="minorBidi" w:hAnsiTheme="minorBidi"/>
          <w:noProof/>
          <w:sz w:val="24"/>
          <w:szCs w:val="24"/>
          <w:lang w:val="en-IN" w:eastAsia="en-IN"/>
        </w:rPr>
        <w:drawing>
          <wp:inline distT="0" distB="0" distL="0" distR="0" wp14:anchorId="091E26D6" wp14:editId="4E21A1EE">
            <wp:extent cx="5584978" cy="264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2.tiff"/>
                    <pic:cNvPicPr/>
                  </pic:nvPicPr>
                  <pic:blipFill>
                    <a:blip r:embed="rId9">
                      <a:extLst>
                        <a:ext uri="{28A0092B-C50C-407E-A947-70E740481C1C}">
                          <a14:useLocalDpi xmlns:a14="http://schemas.microsoft.com/office/drawing/2010/main" val="0"/>
                        </a:ext>
                      </a:extLst>
                    </a:blip>
                    <a:stretch>
                      <a:fillRect/>
                    </a:stretch>
                  </pic:blipFill>
                  <pic:spPr>
                    <a:xfrm>
                      <a:off x="0" y="0"/>
                      <a:ext cx="5584978" cy="2647950"/>
                    </a:xfrm>
                    <a:prstGeom prst="rect">
                      <a:avLst/>
                    </a:prstGeom>
                  </pic:spPr>
                </pic:pic>
              </a:graphicData>
            </a:graphic>
          </wp:inline>
        </w:drawing>
      </w:r>
    </w:p>
    <w:p w14:paraId="6A2D9354" w14:textId="77777777" w:rsidR="002767EA" w:rsidRDefault="002767EA" w:rsidP="00DF3D4B">
      <w:pPr>
        <w:spacing w:after="0" w:line="240" w:lineRule="auto"/>
        <w:jc w:val="both"/>
        <w:rPr>
          <w:rFonts w:asciiTheme="minorBidi" w:hAnsiTheme="minorBidi" w:cs="Times New Roman"/>
          <w:i/>
        </w:rPr>
      </w:pPr>
    </w:p>
    <w:p w14:paraId="27D74B58" w14:textId="6059A576" w:rsidR="00DF3D4B" w:rsidRPr="00CA64D1" w:rsidRDefault="00DF3D4B" w:rsidP="00DF3D4B">
      <w:pPr>
        <w:spacing w:after="0" w:line="240" w:lineRule="auto"/>
        <w:jc w:val="both"/>
        <w:rPr>
          <w:rFonts w:asciiTheme="minorBidi" w:hAnsiTheme="minorBidi" w:cs="Times New Roman"/>
          <w:i/>
        </w:rPr>
      </w:pPr>
      <w:r w:rsidRPr="00CA64D1">
        <w:rPr>
          <w:rFonts w:asciiTheme="minorBidi" w:hAnsiTheme="minorBidi" w:cs="Times New Roman"/>
          <w:i/>
        </w:rPr>
        <w:t>Decomposition analysis</w:t>
      </w:r>
    </w:p>
    <w:p w14:paraId="097243A4" w14:textId="77777777" w:rsidR="00DF3D4B" w:rsidRDefault="00DF3D4B" w:rsidP="00DF3D4B">
      <w:pPr>
        <w:spacing w:after="0" w:line="240" w:lineRule="auto"/>
        <w:ind w:firstLine="567"/>
        <w:jc w:val="both"/>
        <w:rPr>
          <w:rFonts w:asciiTheme="minorBidi" w:hAnsiTheme="minorBidi" w:cs="Times New Roman"/>
        </w:rPr>
      </w:pPr>
    </w:p>
    <w:p w14:paraId="7F99A7CA" w14:textId="1580447F" w:rsidR="00DF3D4B" w:rsidRPr="00CA64D1" w:rsidRDefault="00E81A05" w:rsidP="00DF3D4B">
      <w:pPr>
        <w:spacing w:after="0" w:line="240" w:lineRule="auto"/>
        <w:ind w:firstLine="567"/>
        <w:jc w:val="both"/>
        <w:rPr>
          <w:rFonts w:asciiTheme="minorBidi" w:hAnsiTheme="minorBidi" w:cs="Times New Roman"/>
        </w:rPr>
      </w:pPr>
      <w:r>
        <w:rPr>
          <w:rFonts w:asciiTheme="minorBidi" w:hAnsiTheme="minorBidi" w:cs="Times New Roman"/>
        </w:rPr>
        <w:t>R</w:t>
      </w:r>
      <w:r w:rsidR="00DF3D4B" w:rsidRPr="00CA64D1">
        <w:rPr>
          <w:rFonts w:asciiTheme="minorBidi" w:hAnsiTheme="minorBidi" w:cs="Times New Roman"/>
        </w:rPr>
        <w:t>esults of concentration indices highlighted the magnitude of concentration of sanitary napkin use among the richer stratum of the study population. However, the concentration indices do not explain the mechanism and pathways that lead to such high levels of inequalities in the state and national level</w:t>
      </w:r>
      <w:r>
        <w:rPr>
          <w:rFonts w:asciiTheme="minorBidi" w:hAnsiTheme="minorBidi" w:cs="Times New Roman"/>
        </w:rPr>
        <w:t>s</w:t>
      </w:r>
      <w:r w:rsidR="00DF3D4B" w:rsidRPr="00CA64D1">
        <w:rPr>
          <w:rFonts w:asciiTheme="minorBidi" w:hAnsiTheme="minorBidi" w:cs="Times New Roman"/>
        </w:rPr>
        <w:t xml:space="preserve">. </w:t>
      </w:r>
      <w:r w:rsidR="00BE232B">
        <w:rPr>
          <w:rFonts w:asciiTheme="minorBidi" w:hAnsiTheme="minorBidi" w:cs="Times New Roman"/>
        </w:rPr>
        <w:t>Therefore, i</w:t>
      </w:r>
      <w:r w:rsidR="00DF3D4B" w:rsidRPr="00CA64D1">
        <w:rPr>
          <w:rFonts w:asciiTheme="minorBidi" w:hAnsiTheme="minorBidi" w:cs="Times New Roman"/>
        </w:rPr>
        <w:t xml:space="preserve">n this section, we calculated the major determining factors in the use of sanitary napkins after decomposing the concentration indices. </w:t>
      </w:r>
    </w:p>
    <w:p w14:paraId="44C6FFF2" w14:textId="77777777" w:rsidR="00DF3D4B" w:rsidRDefault="00DF3D4B" w:rsidP="00DF3D4B">
      <w:pPr>
        <w:spacing w:after="0" w:line="240" w:lineRule="auto"/>
        <w:ind w:firstLine="567"/>
        <w:jc w:val="both"/>
        <w:rPr>
          <w:rFonts w:asciiTheme="minorBidi" w:hAnsiTheme="minorBidi" w:cs="Times New Roman"/>
        </w:rPr>
      </w:pPr>
    </w:p>
    <w:p w14:paraId="2155C1A8" w14:textId="2BDFF1B2" w:rsidR="00DF3D4B" w:rsidRDefault="00DF3D4B" w:rsidP="00DF3D4B">
      <w:pPr>
        <w:spacing w:after="0" w:line="240" w:lineRule="auto"/>
        <w:ind w:firstLine="567"/>
        <w:jc w:val="both"/>
        <w:rPr>
          <w:rFonts w:asciiTheme="minorBidi" w:hAnsiTheme="minorBidi" w:cs="Times New Roman"/>
        </w:rPr>
      </w:pPr>
      <w:r w:rsidRPr="00CA64D1">
        <w:rPr>
          <w:rFonts w:asciiTheme="minorBidi" w:hAnsiTheme="minorBidi" w:cs="Times New Roman"/>
        </w:rPr>
        <w:t>The results of the decomposition analysis in the</w:t>
      </w:r>
      <w:r w:rsidR="00E81A05">
        <w:rPr>
          <w:rFonts w:asciiTheme="minorBidi" w:hAnsiTheme="minorBidi" w:cs="Times New Roman"/>
        </w:rPr>
        <w:t>ir</w:t>
      </w:r>
      <w:r w:rsidRPr="00CA64D1">
        <w:rPr>
          <w:rFonts w:asciiTheme="minorBidi" w:hAnsiTheme="minorBidi" w:cs="Times New Roman"/>
        </w:rPr>
        <w:t xml:space="preserve"> use at the national level are presented in Table 1. The model explains a major part of the inequality (0.2260 of 0.2304) in sanitary napkins use with a residual value of 0.0044. In other words, the selected socio-economic determinants explain about 98</w:t>
      </w:r>
      <w:r w:rsidR="007F2B55">
        <w:rPr>
          <w:rFonts w:asciiTheme="minorBidi" w:hAnsiTheme="minorBidi" w:cs="Times New Roman"/>
        </w:rPr>
        <w:t xml:space="preserve"> per cent</w:t>
      </w:r>
      <w:r w:rsidRPr="00CA64D1">
        <w:rPr>
          <w:rFonts w:asciiTheme="minorBidi" w:hAnsiTheme="minorBidi" w:cs="Times New Roman"/>
        </w:rPr>
        <w:t xml:space="preserve"> of the total socio-economic inequalities at the national level to understand the determining factors contributing to sanit</w:t>
      </w:r>
      <w:r w:rsidR="007F2B55">
        <w:rPr>
          <w:rFonts w:asciiTheme="minorBidi" w:hAnsiTheme="minorBidi" w:cs="Times New Roman"/>
        </w:rPr>
        <w:t>ary napkin use. The remaining 2 per cent</w:t>
      </w:r>
      <w:r w:rsidRPr="00CA64D1">
        <w:rPr>
          <w:rFonts w:asciiTheme="minorBidi" w:hAnsiTheme="minorBidi" w:cs="Times New Roman"/>
        </w:rPr>
        <w:t xml:space="preserve"> constitute the unexplained residual component. The results illustrate the relative contributions of the selected socio-economic determinants by taking the total explained component as 100</w:t>
      </w:r>
      <w:r w:rsidR="007F2B55">
        <w:rPr>
          <w:rFonts w:asciiTheme="minorBidi" w:hAnsiTheme="minorBidi" w:cs="Times New Roman"/>
        </w:rPr>
        <w:t xml:space="preserve"> per cent</w:t>
      </w:r>
      <w:r w:rsidRPr="00CA64D1">
        <w:rPr>
          <w:rFonts w:asciiTheme="minorBidi" w:hAnsiTheme="minorBidi" w:cs="Times New Roman"/>
        </w:rPr>
        <w:t xml:space="preserve">. At the all India </w:t>
      </w:r>
      <w:r w:rsidRPr="00CA64D1">
        <w:rPr>
          <w:rFonts w:asciiTheme="minorBidi" w:hAnsiTheme="minorBidi" w:cs="Times New Roman"/>
        </w:rPr>
        <w:lastRenderedPageBreak/>
        <w:t>level, unavailability of a toilet (43</w:t>
      </w:r>
      <w:r w:rsidR="00BC36F7">
        <w:rPr>
          <w:rFonts w:asciiTheme="minorBidi" w:hAnsiTheme="minorBidi" w:cs="Times New Roman"/>
        </w:rPr>
        <w:t>%</w:t>
      </w:r>
      <w:r w:rsidRPr="00CA64D1">
        <w:rPr>
          <w:rFonts w:asciiTheme="minorBidi" w:hAnsiTheme="minorBidi" w:cs="Times New Roman"/>
        </w:rPr>
        <w:t>) emerged as the largest contributor to the socio-economic inequalities in the use of sanitary napkins, followed by years of schooling (27</w:t>
      </w:r>
      <w:r w:rsidR="00BC36F7">
        <w:rPr>
          <w:rFonts w:asciiTheme="minorBidi" w:hAnsiTheme="minorBidi" w:cs="Times New Roman"/>
        </w:rPr>
        <w:t>%</w:t>
      </w:r>
      <w:r w:rsidRPr="00CA64D1">
        <w:rPr>
          <w:rFonts w:asciiTheme="minorBidi" w:hAnsiTheme="minorBidi" w:cs="Times New Roman"/>
        </w:rPr>
        <w:t>) and the rural residence of the adolescent and young unmarried women (20</w:t>
      </w:r>
      <w:r w:rsidR="00BC36F7">
        <w:rPr>
          <w:rFonts w:asciiTheme="minorBidi" w:hAnsiTheme="minorBidi" w:cs="Times New Roman"/>
        </w:rPr>
        <w:t>%</w:t>
      </w:r>
      <w:r w:rsidRPr="00CA64D1">
        <w:rPr>
          <w:rFonts w:asciiTheme="minorBidi" w:hAnsiTheme="minorBidi" w:cs="Times New Roman"/>
        </w:rPr>
        <w:t xml:space="preserve">). </w:t>
      </w:r>
    </w:p>
    <w:p w14:paraId="636CA4EB" w14:textId="59FFAAE7" w:rsidR="002A5C58" w:rsidRDefault="002A5C58" w:rsidP="002A5C58">
      <w:pPr>
        <w:spacing w:after="0" w:line="240" w:lineRule="auto"/>
        <w:jc w:val="both"/>
        <w:rPr>
          <w:rFonts w:asciiTheme="minorBidi" w:hAnsiTheme="minorBidi" w:cs="Times New Roman"/>
        </w:rPr>
      </w:pPr>
    </w:p>
    <w:p w14:paraId="404C5076" w14:textId="030F7731" w:rsidR="002A5C58" w:rsidRPr="00CA64D1" w:rsidRDefault="002A5C58" w:rsidP="002A5C58">
      <w:pPr>
        <w:pStyle w:val="NoSpacing"/>
        <w:jc w:val="both"/>
        <w:rPr>
          <w:rFonts w:asciiTheme="minorBidi" w:hAnsiTheme="minorBidi" w:cs="Times New Roman"/>
        </w:rPr>
      </w:pPr>
      <w:r w:rsidRPr="00D45545">
        <w:rPr>
          <w:rFonts w:ascii="Times New Roman" w:hAnsi="Times New Roman" w:cs="Times New Roman"/>
        </w:rPr>
        <w:t xml:space="preserve">Table 1: Contribution of various socio-economic co-variates total inequality in utilization of </w:t>
      </w:r>
      <w:r w:rsidR="00F223FF">
        <w:rPr>
          <w:rFonts w:ascii="Times New Roman" w:hAnsi="Times New Roman" w:cs="Times New Roman"/>
        </w:rPr>
        <w:t>s</w:t>
      </w:r>
      <w:r w:rsidRPr="00D45545">
        <w:rPr>
          <w:rFonts w:ascii="Times New Roman" w:hAnsi="Times New Roman" w:cs="Times New Roman"/>
        </w:rPr>
        <w:t xml:space="preserve">anitary </w:t>
      </w:r>
      <w:r w:rsidR="00F223FF">
        <w:rPr>
          <w:rFonts w:ascii="Times New Roman" w:hAnsi="Times New Roman" w:cs="Times New Roman"/>
        </w:rPr>
        <w:t>n</w:t>
      </w:r>
      <w:r w:rsidRPr="00D45545">
        <w:rPr>
          <w:rFonts w:ascii="Times New Roman" w:hAnsi="Times New Roman" w:cs="Times New Roman"/>
        </w:rPr>
        <w:t>apkins for India, DLHS</w:t>
      </w:r>
      <w:r w:rsidR="00F223FF">
        <w:rPr>
          <w:rFonts w:ascii="Times New Roman" w:hAnsi="Times New Roman" w:cs="Times New Roman"/>
        </w:rPr>
        <w:t>,</w:t>
      </w:r>
      <w:r w:rsidRPr="00D45545">
        <w:rPr>
          <w:rFonts w:ascii="Times New Roman" w:hAnsi="Times New Roman" w:cs="Times New Roman"/>
        </w:rPr>
        <w:t xml:space="preserve"> 2007-08</w:t>
      </w:r>
    </w:p>
    <w:p w14:paraId="46327965" w14:textId="77777777" w:rsidR="00CA64D1" w:rsidRDefault="00CA64D1" w:rsidP="00CA64D1">
      <w:pPr>
        <w:spacing w:after="0" w:line="240" w:lineRule="auto"/>
        <w:ind w:firstLine="567"/>
        <w:jc w:val="both"/>
        <w:rPr>
          <w:rFonts w:asciiTheme="minorBidi" w:hAnsiTheme="minorBidi" w:cs="Times New Roman"/>
          <w:b/>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1"/>
        <w:gridCol w:w="1134"/>
        <w:gridCol w:w="1414"/>
        <w:gridCol w:w="1274"/>
        <w:gridCol w:w="1274"/>
      </w:tblGrid>
      <w:tr w:rsidR="002A5C58" w:rsidRPr="00D07B22" w14:paraId="77116231" w14:textId="77777777" w:rsidTr="002A5C58">
        <w:trPr>
          <w:trHeight w:val="227"/>
        </w:trPr>
        <w:tc>
          <w:tcPr>
            <w:tcW w:w="3681" w:type="dxa"/>
            <w:tcBorders>
              <w:top w:val="single" w:sz="4" w:space="0" w:color="auto"/>
              <w:bottom w:val="single" w:sz="4" w:space="0" w:color="auto"/>
            </w:tcBorders>
            <w:shd w:val="clear" w:color="auto" w:fill="auto"/>
            <w:vAlign w:val="center"/>
          </w:tcPr>
          <w:p w14:paraId="132E7174" w14:textId="77777777" w:rsidR="002A5C58" w:rsidRPr="00D07B22" w:rsidRDefault="002A5C58" w:rsidP="003A2C11">
            <w:pPr>
              <w:pStyle w:val="NoSpacing"/>
              <w:rPr>
                <w:rFonts w:ascii="Times New Roman" w:hAnsi="Times New Roman" w:cs="Times New Roman"/>
                <w:bCs/>
                <w:sz w:val="20"/>
                <w:szCs w:val="20"/>
              </w:rPr>
            </w:pPr>
            <w:r w:rsidRPr="00D07B22">
              <w:rPr>
                <w:rFonts w:ascii="Times New Roman" w:hAnsi="Times New Roman" w:cs="Times New Roman"/>
                <w:bCs/>
                <w:sz w:val="20"/>
                <w:szCs w:val="20"/>
              </w:rPr>
              <w:t>Determinants</w:t>
            </w:r>
          </w:p>
        </w:tc>
        <w:tc>
          <w:tcPr>
            <w:tcW w:w="1134" w:type="dxa"/>
            <w:tcBorders>
              <w:top w:val="single" w:sz="4" w:space="0" w:color="auto"/>
              <w:bottom w:val="single" w:sz="4" w:space="0" w:color="auto"/>
            </w:tcBorders>
            <w:shd w:val="clear" w:color="auto" w:fill="auto"/>
            <w:vAlign w:val="center"/>
          </w:tcPr>
          <w:p w14:paraId="77C33BB7" w14:textId="77777777" w:rsidR="002A5C58" w:rsidRPr="00D07B22" w:rsidRDefault="002A5C58" w:rsidP="003A2C11">
            <w:pPr>
              <w:pStyle w:val="NoSpacing"/>
              <w:jc w:val="right"/>
              <w:rPr>
                <w:rFonts w:ascii="Times New Roman" w:hAnsi="Times New Roman" w:cs="Times New Roman"/>
                <w:bCs/>
                <w:sz w:val="20"/>
                <w:szCs w:val="20"/>
              </w:rPr>
            </w:pPr>
            <w:r w:rsidRPr="00D07B22">
              <w:rPr>
                <w:rFonts w:ascii="Times New Roman" w:hAnsi="Times New Roman" w:cs="Times New Roman"/>
                <w:bCs/>
                <w:sz w:val="20"/>
                <w:szCs w:val="20"/>
              </w:rPr>
              <w:t>Elasticity</w:t>
            </w:r>
          </w:p>
        </w:tc>
        <w:tc>
          <w:tcPr>
            <w:tcW w:w="1414" w:type="dxa"/>
            <w:tcBorders>
              <w:top w:val="single" w:sz="4" w:space="0" w:color="auto"/>
              <w:bottom w:val="single" w:sz="4" w:space="0" w:color="auto"/>
            </w:tcBorders>
            <w:shd w:val="clear" w:color="auto" w:fill="auto"/>
            <w:vAlign w:val="center"/>
          </w:tcPr>
          <w:p w14:paraId="17D6CDC0" w14:textId="77777777" w:rsidR="002A5C58" w:rsidRPr="00D07B22" w:rsidRDefault="002A5C58" w:rsidP="003A2C11">
            <w:pPr>
              <w:pStyle w:val="NoSpacing"/>
              <w:jc w:val="right"/>
              <w:rPr>
                <w:rFonts w:ascii="Times New Roman" w:hAnsi="Times New Roman" w:cs="Times New Roman"/>
                <w:bCs/>
                <w:sz w:val="20"/>
                <w:szCs w:val="20"/>
              </w:rPr>
            </w:pPr>
            <w:r w:rsidRPr="00D07B22">
              <w:rPr>
                <w:rFonts w:ascii="Times New Roman" w:hAnsi="Times New Roman" w:cs="Times New Roman"/>
                <w:bCs/>
                <w:sz w:val="20"/>
                <w:szCs w:val="20"/>
              </w:rPr>
              <w:t>Concentration Index</w:t>
            </w:r>
          </w:p>
        </w:tc>
        <w:tc>
          <w:tcPr>
            <w:tcW w:w="1274" w:type="dxa"/>
            <w:tcBorders>
              <w:top w:val="single" w:sz="4" w:space="0" w:color="auto"/>
              <w:bottom w:val="single" w:sz="4" w:space="0" w:color="auto"/>
            </w:tcBorders>
            <w:shd w:val="clear" w:color="auto" w:fill="auto"/>
            <w:vAlign w:val="center"/>
          </w:tcPr>
          <w:p w14:paraId="269FF261" w14:textId="77777777" w:rsidR="002A5C58" w:rsidRPr="00D07B22" w:rsidRDefault="002A5C58" w:rsidP="003A2C11">
            <w:pPr>
              <w:pStyle w:val="NoSpacing"/>
              <w:jc w:val="right"/>
              <w:rPr>
                <w:rFonts w:ascii="Times New Roman" w:hAnsi="Times New Roman" w:cs="Times New Roman"/>
                <w:bCs/>
                <w:sz w:val="20"/>
                <w:szCs w:val="20"/>
              </w:rPr>
            </w:pPr>
            <w:r w:rsidRPr="00D07B22">
              <w:rPr>
                <w:rFonts w:ascii="Times New Roman" w:hAnsi="Times New Roman" w:cs="Times New Roman"/>
                <w:bCs/>
                <w:sz w:val="20"/>
                <w:szCs w:val="20"/>
              </w:rPr>
              <w:t>Contribution to CI</w:t>
            </w:r>
          </w:p>
        </w:tc>
        <w:tc>
          <w:tcPr>
            <w:tcW w:w="1274" w:type="dxa"/>
            <w:tcBorders>
              <w:top w:val="single" w:sz="4" w:space="0" w:color="auto"/>
              <w:bottom w:val="single" w:sz="4" w:space="0" w:color="auto"/>
            </w:tcBorders>
            <w:shd w:val="clear" w:color="auto" w:fill="auto"/>
            <w:vAlign w:val="center"/>
          </w:tcPr>
          <w:p w14:paraId="4D195828" w14:textId="05280373" w:rsidR="006C7509" w:rsidRDefault="006C7509" w:rsidP="00726928">
            <w:pPr>
              <w:pStyle w:val="NoSpacing"/>
              <w:jc w:val="right"/>
              <w:rPr>
                <w:rFonts w:ascii="Times New Roman" w:hAnsi="Times New Roman" w:cs="Times New Roman"/>
                <w:bCs/>
                <w:sz w:val="20"/>
                <w:szCs w:val="20"/>
              </w:rPr>
            </w:pPr>
            <w:r>
              <w:rPr>
                <w:rFonts w:ascii="Times New Roman" w:hAnsi="Times New Roman" w:cs="Times New Roman"/>
                <w:bCs/>
                <w:sz w:val="20"/>
                <w:szCs w:val="20"/>
              </w:rPr>
              <w:t>Per</w:t>
            </w:r>
            <w:r w:rsidR="00726928">
              <w:rPr>
                <w:rFonts w:ascii="Times New Roman" w:hAnsi="Times New Roman" w:cs="Times New Roman"/>
                <w:bCs/>
                <w:sz w:val="20"/>
                <w:szCs w:val="20"/>
              </w:rPr>
              <w:t xml:space="preserve"> </w:t>
            </w:r>
            <w:r>
              <w:rPr>
                <w:rFonts w:ascii="Times New Roman" w:hAnsi="Times New Roman" w:cs="Times New Roman"/>
                <w:bCs/>
                <w:sz w:val="20"/>
                <w:szCs w:val="20"/>
              </w:rPr>
              <w:t>cent</w:t>
            </w:r>
            <w:r w:rsidR="002A5C58" w:rsidRPr="00D07B22">
              <w:rPr>
                <w:rFonts w:ascii="Times New Roman" w:hAnsi="Times New Roman" w:cs="Times New Roman"/>
                <w:bCs/>
                <w:sz w:val="20"/>
                <w:szCs w:val="20"/>
              </w:rPr>
              <w:t xml:space="preserve"> </w:t>
            </w:r>
          </w:p>
          <w:p w14:paraId="61222C7B" w14:textId="092B2BD6" w:rsidR="002A5C58" w:rsidRPr="00D07B22" w:rsidRDefault="006C7509" w:rsidP="00726928">
            <w:pPr>
              <w:pStyle w:val="NoSpacing"/>
              <w:jc w:val="right"/>
              <w:rPr>
                <w:rFonts w:ascii="Times New Roman" w:hAnsi="Times New Roman" w:cs="Times New Roman"/>
                <w:bCs/>
                <w:sz w:val="20"/>
                <w:szCs w:val="20"/>
              </w:rPr>
            </w:pPr>
            <w:r>
              <w:rPr>
                <w:rFonts w:ascii="Times New Roman" w:hAnsi="Times New Roman" w:cs="Times New Roman"/>
                <w:bCs/>
                <w:sz w:val="20"/>
                <w:szCs w:val="20"/>
              </w:rPr>
              <w:t>Contri</w:t>
            </w:r>
            <w:r w:rsidR="002A5C58" w:rsidRPr="00D07B22">
              <w:rPr>
                <w:rFonts w:ascii="Times New Roman" w:hAnsi="Times New Roman" w:cs="Times New Roman"/>
                <w:bCs/>
                <w:sz w:val="20"/>
                <w:szCs w:val="20"/>
              </w:rPr>
              <w:t>bution</w:t>
            </w:r>
          </w:p>
        </w:tc>
      </w:tr>
      <w:tr w:rsidR="002A5C58" w:rsidRPr="00D07B22" w14:paraId="2A74D570" w14:textId="77777777" w:rsidTr="002A5C58">
        <w:trPr>
          <w:trHeight w:val="227"/>
        </w:trPr>
        <w:tc>
          <w:tcPr>
            <w:tcW w:w="3681" w:type="dxa"/>
            <w:tcBorders>
              <w:top w:val="single" w:sz="4" w:space="0" w:color="auto"/>
            </w:tcBorders>
            <w:shd w:val="clear" w:color="auto" w:fill="auto"/>
            <w:vAlign w:val="bottom"/>
          </w:tcPr>
          <w:p w14:paraId="70F0E723" w14:textId="77777777" w:rsidR="002A5C58" w:rsidRPr="00D07B22" w:rsidRDefault="002A5C58" w:rsidP="003A2C11">
            <w:pPr>
              <w:pStyle w:val="NoSpacing"/>
              <w:rPr>
                <w:rFonts w:ascii="Times New Roman" w:hAnsi="Times New Roman" w:cs="Times New Roman"/>
                <w:bCs/>
                <w:sz w:val="20"/>
                <w:szCs w:val="20"/>
              </w:rPr>
            </w:pPr>
            <w:r w:rsidRPr="00D07B22">
              <w:rPr>
                <w:rFonts w:ascii="Times New Roman" w:hAnsi="Times New Roman" w:cs="Times New Roman"/>
                <w:bCs/>
                <w:sz w:val="20"/>
                <w:szCs w:val="20"/>
              </w:rPr>
              <w:t>Age</w:t>
            </w:r>
          </w:p>
        </w:tc>
        <w:tc>
          <w:tcPr>
            <w:tcW w:w="1134" w:type="dxa"/>
            <w:tcBorders>
              <w:top w:val="single" w:sz="4" w:space="0" w:color="auto"/>
            </w:tcBorders>
            <w:shd w:val="clear" w:color="auto" w:fill="auto"/>
            <w:vAlign w:val="bottom"/>
          </w:tcPr>
          <w:p w14:paraId="64E014EF"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0.1339</w:t>
            </w:r>
          </w:p>
        </w:tc>
        <w:tc>
          <w:tcPr>
            <w:tcW w:w="1414" w:type="dxa"/>
            <w:tcBorders>
              <w:top w:val="single" w:sz="4" w:space="0" w:color="auto"/>
            </w:tcBorders>
            <w:shd w:val="clear" w:color="auto" w:fill="auto"/>
            <w:vAlign w:val="bottom"/>
          </w:tcPr>
          <w:p w14:paraId="03901255"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0.0148</w:t>
            </w:r>
          </w:p>
        </w:tc>
        <w:tc>
          <w:tcPr>
            <w:tcW w:w="1274" w:type="dxa"/>
            <w:tcBorders>
              <w:top w:val="single" w:sz="4" w:space="0" w:color="auto"/>
            </w:tcBorders>
            <w:shd w:val="clear" w:color="auto" w:fill="auto"/>
            <w:vAlign w:val="bottom"/>
          </w:tcPr>
          <w:p w14:paraId="491C03DF"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0.0020</w:t>
            </w:r>
          </w:p>
        </w:tc>
        <w:tc>
          <w:tcPr>
            <w:tcW w:w="1274" w:type="dxa"/>
            <w:tcBorders>
              <w:top w:val="single" w:sz="4" w:space="0" w:color="auto"/>
            </w:tcBorders>
            <w:shd w:val="clear" w:color="auto" w:fill="auto"/>
            <w:vAlign w:val="bottom"/>
          </w:tcPr>
          <w:p w14:paraId="52CD564E" w14:textId="77777777" w:rsidR="002A5C58" w:rsidRPr="00D07B22" w:rsidRDefault="002A5C58" w:rsidP="003A2C11">
            <w:pPr>
              <w:pStyle w:val="NoSpacing"/>
              <w:jc w:val="right"/>
              <w:rPr>
                <w:rFonts w:ascii="Times New Roman" w:hAnsi="Times New Roman" w:cs="Times New Roman"/>
                <w:bCs/>
                <w:sz w:val="20"/>
                <w:szCs w:val="20"/>
              </w:rPr>
            </w:pPr>
            <w:r w:rsidRPr="00D07B22">
              <w:rPr>
                <w:rFonts w:ascii="Times New Roman" w:hAnsi="Times New Roman" w:cs="Times New Roman"/>
                <w:bCs/>
                <w:sz w:val="20"/>
                <w:szCs w:val="20"/>
              </w:rPr>
              <w:t>0.87</w:t>
            </w:r>
          </w:p>
        </w:tc>
      </w:tr>
      <w:tr w:rsidR="002A5C58" w:rsidRPr="00D07B22" w14:paraId="2898FFFB" w14:textId="77777777" w:rsidTr="002A5C58">
        <w:trPr>
          <w:trHeight w:val="227"/>
        </w:trPr>
        <w:tc>
          <w:tcPr>
            <w:tcW w:w="3681" w:type="dxa"/>
            <w:shd w:val="clear" w:color="auto" w:fill="auto"/>
            <w:vAlign w:val="bottom"/>
          </w:tcPr>
          <w:p w14:paraId="5F2D0121" w14:textId="0CE856F1" w:rsidR="002A5C58" w:rsidRPr="00D07B22" w:rsidRDefault="002A5C58" w:rsidP="003A2C11">
            <w:pPr>
              <w:pStyle w:val="NoSpacing"/>
              <w:rPr>
                <w:rFonts w:ascii="Times New Roman" w:hAnsi="Times New Roman" w:cs="Times New Roman"/>
                <w:bCs/>
                <w:sz w:val="20"/>
                <w:szCs w:val="20"/>
              </w:rPr>
            </w:pPr>
            <w:r>
              <w:rPr>
                <w:rFonts w:ascii="Times New Roman" w:hAnsi="Times New Roman" w:cs="Times New Roman"/>
                <w:bCs/>
                <w:sz w:val="20"/>
                <w:szCs w:val="20"/>
              </w:rPr>
              <w:t xml:space="preserve">Years </w:t>
            </w:r>
            <w:r w:rsidR="007F2B55">
              <w:rPr>
                <w:rFonts w:ascii="Times New Roman" w:hAnsi="Times New Roman" w:cs="Times New Roman"/>
                <w:bCs/>
                <w:sz w:val="20"/>
                <w:szCs w:val="20"/>
              </w:rPr>
              <w:t xml:space="preserve">of </w:t>
            </w:r>
            <w:r>
              <w:rPr>
                <w:rFonts w:ascii="Times New Roman" w:hAnsi="Times New Roman" w:cs="Times New Roman"/>
                <w:bCs/>
                <w:sz w:val="20"/>
                <w:szCs w:val="20"/>
              </w:rPr>
              <w:t>s</w:t>
            </w:r>
            <w:r w:rsidRPr="00D07B22">
              <w:rPr>
                <w:rFonts w:ascii="Times New Roman" w:hAnsi="Times New Roman" w:cs="Times New Roman"/>
                <w:bCs/>
                <w:sz w:val="20"/>
                <w:szCs w:val="20"/>
              </w:rPr>
              <w:t>chooling</w:t>
            </w:r>
          </w:p>
        </w:tc>
        <w:tc>
          <w:tcPr>
            <w:tcW w:w="1134" w:type="dxa"/>
            <w:shd w:val="clear" w:color="auto" w:fill="auto"/>
            <w:vAlign w:val="bottom"/>
          </w:tcPr>
          <w:p w14:paraId="5C9127DA"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0.7179</w:t>
            </w:r>
          </w:p>
        </w:tc>
        <w:tc>
          <w:tcPr>
            <w:tcW w:w="1414" w:type="dxa"/>
            <w:shd w:val="clear" w:color="auto" w:fill="auto"/>
            <w:vAlign w:val="bottom"/>
          </w:tcPr>
          <w:p w14:paraId="47B2C05E"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0.0847</w:t>
            </w:r>
          </w:p>
        </w:tc>
        <w:tc>
          <w:tcPr>
            <w:tcW w:w="1274" w:type="dxa"/>
            <w:shd w:val="clear" w:color="auto" w:fill="auto"/>
            <w:vAlign w:val="bottom"/>
          </w:tcPr>
          <w:p w14:paraId="2F8ABEC0"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0.0608</w:t>
            </w:r>
          </w:p>
        </w:tc>
        <w:tc>
          <w:tcPr>
            <w:tcW w:w="1274" w:type="dxa"/>
            <w:shd w:val="clear" w:color="auto" w:fill="auto"/>
            <w:vAlign w:val="bottom"/>
          </w:tcPr>
          <w:p w14:paraId="78C4951A" w14:textId="77777777" w:rsidR="002A5C58" w:rsidRPr="00D07B22" w:rsidRDefault="002A5C58" w:rsidP="003A2C11">
            <w:pPr>
              <w:pStyle w:val="NoSpacing"/>
              <w:jc w:val="right"/>
              <w:rPr>
                <w:rFonts w:ascii="Times New Roman" w:hAnsi="Times New Roman" w:cs="Times New Roman"/>
                <w:bCs/>
                <w:sz w:val="20"/>
                <w:szCs w:val="20"/>
              </w:rPr>
            </w:pPr>
            <w:r w:rsidRPr="00D07B22">
              <w:rPr>
                <w:rFonts w:ascii="Times New Roman" w:hAnsi="Times New Roman" w:cs="Times New Roman"/>
                <w:bCs/>
                <w:sz w:val="20"/>
                <w:szCs w:val="20"/>
              </w:rPr>
              <w:t>26.92</w:t>
            </w:r>
          </w:p>
        </w:tc>
      </w:tr>
      <w:tr w:rsidR="002A5C58" w:rsidRPr="00D07B22" w14:paraId="7AFF4685" w14:textId="77777777" w:rsidTr="002A5C58">
        <w:trPr>
          <w:trHeight w:val="227"/>
        </w:trPr>
        <w:tc>
          <w:tcPr>
            <w:tcW w:w="3681" w:type="dxa"/>
            <w:shd w:val="clear" w:color="auto" w:fill="auto"/>
            <w:vAlign w:val="bottom"/>
          </w:tcPr>
          <w:p w14:paraId="10A10BA4" w14:textId="77777777" w:rsidR="002A5C58" w:rsidRPr="00D07B22" w:rsidRDefault="002A5C58" w:rsidP="003A2C11">
            <w:pPr>
              <w:pStyle w:val="NoSpacing"/>
              <w:rPr>
                <w:rFonts w:ascii="Times New Roman" w:hAnsi="Times New Roman" w:cs="Times New Roman"/>
                <w:bCs/>
                <w:sz w:val="20"/>
                <w:szCs w:val="20"/>
              </w:rPr>
            </w:pPr>
            <w:r w:rsidRPr="00D07B22">
              <w:rPr>
                <w:rFonts w:ascii="Times New Roman" w:hAnsi="Times New Roman" w:cs="Times New Roman"/>
                <w:bCs/>
                <w:sz w:val="20"/>
                <w:szCs w:val="20"/>
              </w:rPr>
              <w:t>Poor economic status</w:t>
            </w:r>
          </w:p>
        </w:tc>
        <w:tc>
          <w:tcPr>
            <w:tcW w:w="1134" w:type="dxa"/>
            <w:shd w:val="clear" w:color="auto" w:fill="auto"/>
            <w:vAlign w:val="bottom"/>
          </w:tcPr>
          <w:p w14:paraId="0D4842AF"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0.0779</w:t>
            </w:r>
          </w:p>
        </w:tc>
        <w:tc>
          <w:tcPr>
            <w:tcW w:w="1414" w:type="dxa"/>
            <w:shd w:val="clear" w:color="auto" w:fill="auto"/>
            <w:vAlign w:val="bottom"/>
          </w:tcPr>
          <w:p w14:paraId="2832FE94"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0.1498</w:t>
            </w:r>
          </w:p>
        </w:tc>
        <w:tc>
          <w:tcPr>
            <w:tcW w:w="1274" w:type="dxa"/>
            <w:shd w:val="clear" w:color="auto" w:fill="auto"/>
            <w:vAlign w:val="bottom"/>
          </w:tcPr>
          <w:p w14:paraId="475D46C9"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0.0117</w:t>
            </w:r>
          </w:p>
        </w:tc>
        <w:tc>
          <w:tcPr>
            <w:tcW w:w="1274" w:type="dxa"/>
            <w:shd w:val="clear" w:color="auto" w:fill="auto"/>
            <w:vAlign w:val="bottom"/>
          </w:tcPr>
          <w:p w14:paraId="607170BF" w14:textId="77777777" w:rsidR="002A5C58" w:rsidRPr="00D07B22" w:rsidRDefault="002A5C58" w:rsidP="003A2C11">
            <w:pPr>
              <w:pStyle w:val="NoSpacing"/>
              <w:jc w:val="right"/>
              <w:rPr>
                <w:rFonts w:ascii="Times New Roman" w:hAnsi="Times New Roman" w:cs="Times New Roman"/>
                <w:bCs/>
                <w:sz w:val="20"/>
                <w:szCs w:val="20"/>
              </w:rPr>
            </w:pPr>
            <w:r w:rsidRPr="00D07B22">
              <w:rPr>
                <w:rFonts w:ascii="Times New Roman" w:hAnsi="Times New Roman" w:cs="Times New Roman"/>
                <w:bCs/>
                <w:sz w:val="20"/>
                <w:szCs w:val="20"/>
              </w:rPr>
              <w:t>5.16</w:t>
            </w:r>
          </w:p>
        </w:tc>
      </w:tr>
      <w:tr w:rsidR="002A5C58" w:rsidRPr="00D07B22" w14:paraId="26B182D3" w14:textId="77777777" w:rsidTr="002A5C58">
        <w:trPr>
          <w:trHeight w:val="227"/>
        </w:trPr>
        <w:tc>
          <w:tcPr>
            <w:tcW w:w="3681" w:type="dxa"/>
            <w:shd w:val="clear" w:color="auto" w:fill="auto"/>
            <w:vAlign w:val="bottom"/>
          </w:tcPr>
          <w:p w14:paraId="2E41552D" w14:textId="77777777" w:rsidR="002A5C58" w:rsidRPr="00D07B22" w:rsidRDefault="002A5C58" w:rsidP="003A2C11">
            <w:pPr>
              <w:pStyle w:val="NoSpacing"/>
              <w:rPr>
                <w:rFonts w:ascii="Times New Roman" w:hAnsi="Times New Roman" w:cs="Times New Roman"/>
                <w:bCs/>
                <w:sz w:val="20"/>
                <w:szCs w:val="20"/>
              </w:rPr>
            </w:pPr>
            <w:r>
              <w:rPr>
                <w:rFonts w:ascii="Times New Roman" w:hAnsi="Times New Roman" w:cs="Times New Roman"/>
                <w:bCs/>
                <w:sz w:val="20"/>
                <w:szCs w:val="20"/>
              </w:rPr>
              <w:t>Belonging to Muslim r</w:t>
            </w:r>
            <w:r w:rsidRPr="00D07B22">
              <w:rPr>
                <w:rFonts w:ascii="Times New Roman" w:hAnsi="Times New Roman" w:cs="Times New Roman"/>
                <w:bCs/>
                <w:sz w:val="20"/>
                <w:szCs w:val="20"/>
              </w:rPr>
              <w:t>eligion</w:t>
            </w:r>
          </w:p>
        </w:tc>
        <w:tc>
          <w:tcPr>
            <w:tcW w:w="1134" w:type="dxa"/>
            <w:shd w:val="clear" w:color="auto" w:fill="auto"/>
            <w:vAlign w:val="bottom"/>
          </w:tcPr>
          <w:p w14:paraId="1B6D78BD"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0.1856</w:t>
            </w:r>
          </w:p>
        </w:tc>
        <w:tc>
          <w:tcPr>
            <w:tcW w:w="1414" w:type="dxa"/>
            <w:shd w:val="clear" w:color="auto" w:fill="auto"/>
            <w:vAlign w:val="bottom"/>
          </w:tcPr>
          <w:p w14:paraId="51BDB8E2"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-0.0050</w:t>
            </w:r>
          </w:p>
        </w:tc>
        <w:tc>
          <w:tcPr>
            <w:tcW w:w="1274" w:type="dxa"/>
            <w:shd w:val="clear" w:color="auto" w:fill="auto"/>
            <w:vAlign w:val="bottom"/>
          </w:tcPr>
          <w:p w14:paraId="766AA837"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-0.0009</w:t>
            </w:r>
          </w:p>
        </w:tc>
        <w:tc>
          <w:tcPr>
            <w:tcW w:w="1274" w:type="dxa"/>
            <w:shd w:val="clear" w:color="auto" w:fill="auto"/>
            <w:vAlign w:val="bottom"/>
          </w:tcPr>
          <w:p w14:paraId="74C43851" w14:textId="77777777" w:rsidR="002A5C58" w:rsidRPr="00D07B22" w:rsidRDefault="002A5C58" w:rsidP="003A2C11">
            <w:pPr>
              <w:pStyle w:val="NoSpacing"/>
              <w:jc w:val="right"/>
              <w:rPr>
                <w:rFonts w:ascii="Times New Roman" w:hAnsi="Times New Roman" w:cs="Times New Roman"/>
                <w:bCs/>
                <w:sz w:val="20"/>
                <w:szCs w:val="20"/>
              </w:rPr>
            </w:pPr>
            <w:r w:rsidRPr="00D07B22">
              <w:rPr>
                <w:rFonts w:ascii="Times New Roman" w:hAnsi="Times New Roman" w:cs="Times New Roman"/>
                <w:bCs/>
                <w:sz w:val="20"/>
                <w:szCs w:val="20"/>
              </w:rPr>
              <w:t>-0.41</w:t>
            </w:r>
          </w:p>
        </w:tc>
      </w:tr>
      <w:tr w:rsidR="002A5C58" w:rsidRPr="00D07B22" w14:paraId="5CDF3949" w14:textId="77777777" w:rsidTr="002A5C58">
        <w:trPr>
          <w:trHeight w:val="227"/>
        </w:trPr>
        <w:tc>
          <w:tcPr>
            <w:tcW w:w="3681" w:type="dxa"/>
            <w:shd w:val="clear" w:color="auto" w:fill="auto"/>
            <w:vAlign w:val="bottom"/>
          </w:tcPr>
          <w:p w14:paraId="02F494D3" w14:textId="77777777" w:rsidR="002A5C58" w:rsidRPr="00D07B22" w:rsidRDefault="002A5C58" w:rsidP="003A2C11">
            <w:pPr>
              <w:pStyle w:val="NoSpacing"/>
              <w:rPr>
                <w:rFonts w:ascii="Times New Roman" w:hAnsi="Times New Roman" w:cs="Times New Roman"/>
                <w:bCs/>
                <w:sz w:val="20"/>
                <w:szCs w:val="20"/>
              </w:rPr>
            </w:pPr>
            <w:r w:rsidRPr="00D07B22">
              <w:rPr>
                <w:rFonts w:ascii="Times New Roman" w:hAnsi="Times New Roman" w:cs="Times New Roman"/>
                <w:bCs/>
                <w:sz w:val="20"/>
                <w:szCs w:val="20"/>
              </w:rPr>
              <w:t xml:space="preserve">Belonging to SC/ST </w:t>
            </w:r>
            <w:r>
              <w:rPr>
                <w:rFonts w:ascii="Times New Roman" w:hAnsi="Times New Roman" w:cs="Times New Roman"/>
                <w:bCs/>
                <w:sz w:val="20"/>
                <w:szCs w:val="20"/>
              </w:rPr>
              <w:t>c</w:t>
            </w:r>
            <w:r w:rsidRPr="00D07B22">
              <w:rPr>
                <w:rFonts w:ascii="Times New Roman" w:hAnsi="Times New Roman" w:cs="Times New Roman"/>
                <w:bCs/>
                <w:sz w:val="20"/>
                <w:szCs w:val="20"/>
              </w:rPr>
              <w:t>aste</w:t>
            </w:r>
          </w:p>
        </w:tc>
        <w:tc>
          <w:tcPr>
            <w:tcW w:w="1134" w:type="dxa"/>
            <w:shd w:val="clear" w:color="auto" w:fill="auto"/>
            <w:vAlign w:val="bottom"/>
          </w:tcPr>
          <w:p w14:paraId="7BFE10A8"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-0.1092</w:t>
            </w:r>
          </w:p>
        </w:tc>
        <w:tc>
          <w:tcPr>
            <w:tcW w:w="1414" w:type="dxa"/>
            <w:shd w:val="clear" w:color="auto" w:fill="auto"/>
            <w:vAlign w:val="bottom"/>
          </w:tcPr>
          <w:p w14:paraId="5CD1EB1A"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0.0968</w:t>
            </w:r>
          </w:p>
        </w:tc>
        <w:tc>
          <w:tcPr>
            <w:tcW w:w="1274" w:type="dxa"/>
            <w:shd w:val="clear" w:color="auto" w:fill="auto"/>
            <w:vAlign w:val="bottom"/>
          </w:tcPr>
          <w:p w14:paraId="7C352EC4"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-0.0106</w:t>
            </w:r>
          </w:p>
        </w:tc>
        <w:tc>
          <w:tcPr>
            <w:tcW w:w="1274" w:type="dxa"/>
            <w:shd w:val="clear" w:color="auto" w:fill="auto"/>
            <w:vAlign w:val="bottom"/>
          </w:tcPr>
          <w:p w14:paraId="1F500BBE" w14:textId="77777777" w:rsidR="002A5C58" w:rsidRPr="00D07B22" w:rsidRDefault="002A5C58" w:rsidP="003A2C11">
            <w:pPr>
              <w:pStyle w:val="NoSpacing"/>
              <w:jc w:val="right"/>
              <w:rPr>
                <w:rFonts w:ascii="Times New Roman" w:hAnsi="Times New Roman" w:cs="Times New Roman"/>
                <w:bCs/>
                <w:sz w:val="20"/>
                <w:szCs w:val="20"/>
              </w:rPr>
            </w:pPr>
            <w:r w:rsidRPr="00D07B22">
              <w:rPr>
                <w:rFonts w:ascii="Times New Roman" w:hAnsi="Times New Roman" w:cs="Times New Roman"/>
                <w:bCs/>
                <w:sz w:val="20"/>
                <w:szCs w:val="20"/>
              </w:rPr>
              <w:t>-4.68</w:t>
            </w:r>
          </w:p>
        </w:tc>
      </w:tr>
      <w:tr w:rsidR="002A5C58" w:rsidRPr="00D07B22" w14:paraId="24ACB45F" w14:textId="77777777" w:rsidTr="002A5C58">
        <w:trPr>
          <w:trHeight w:val="227"/>
        </w:trPr>
        <w:tc>
          <w:tcPr>
            <w:tcW w:w="3681" w:type="dxa"/>
            <w:shd w:val="clear" w:color="auto" w:fill="auto"/>
            <w:vAlign w:val="bottom"/>
          </w:tcPr>
          <w:p w14:paraId="7AA5875F" w14:textId="77777777" w:rsidR="002A5C58" w:rsidRPr="00D07B22" w:rsidRDefault="002A5C58" w:rsidP="003A2C11">
            <w:pPr>
              <w:pStyle w:val="NoSpacing"/>
              <w:rPr>
                <w:rFonts w:ascii="Times New Roman" w:hAnsi="Times New Roman" w:cs="Times New Roman"/>
                <w:bCs/>
                <w:sz w:val="20"/>
                <w:szCs w:val="20"/>
              </w:rPr>
            </w:pPr>
            <w:r w:rsidRPr="00D07B22">
              <w:rPr>
                <w:rFonts w:ascii="Times New Roman" w:hAnsi="Times New Roman" w:cs="Times New Roman"/>
                <w:bCs/>
                <w:sz w:val="20"/>
                <w:szCs w:val="20"/>
              </w:rPr>
              <w:t xml:space="preserve">Belonging to </w:t>
            </w:r>
            <w:r>
              <w:rPr>
                <w:rFonts w:ascii="Times New Roman" w:hAnsi="Times New Roman" w:cs="Times New Roman"/>
                <w:bCs/>
                <w:sz w:val="20"/>
                <w:szCs w:val="20"/>
              </w:rPr>
              <w:t>r</w:t>
            </w:r>
            <w:r w:rsidRPr="00D07B22">
              <w:rPr>
                <w:rFonts w:ascii="Times New Roman" w:hAnsi="Times New Roman" w:cs="Times New Roman"/>
                <w:bCs/>
                <w:sz w:val="20"/>
                <w:szCs w:val="20"/>
              </w:rPr>
              <w:t xml:space="preserve">ural </w:t>
            </w:r>
            <w:r>
              <w:rPr>
                <w:rFonts w:ascii="Times New Roman" w:hAnsi="Times New Roman" w:cs="Times New Roman"/>
                <w:bCs/>
                <w:sz w:val="20"/>
                <w:szCs w:val="20"/>
              </w:rPr>
              <w:t>a</w:t>
            </w:r>
            <w:r w:rsidRPr="00D07B22">
              <w:rPr>
                <w:rFonts w:ascii="Times New Roman" w:hAnsi="Times New Roman" w:cs="Times New Roman"/>
                <w:bCs/>
                <w:sz w:val="20"/>
                <w:szCs w:val="20"/>
              </w:rPr>
              <w:t>reas</w:t>
            </w:r>
          </w:p>
        </w:tc>
        <w:tc>
          <w:tcPr>
            <w:tcW w:w="1134" w:type="dxa"/>
            <w:shd w:val="clear" w:color="auto" w:fill="auto"/>
            <w:vAlign w:val="bottom"/>
          </w:tcPr>
          <w:p w14:paraId="3B475042"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0.1385</w:t>
            </w:r>
          </w:p>
        </w:tc>
        <w:tc>
          <w:tcPr>
            <w:tcW w:w="1414" w:type="dxa"/>
            <w:shd w:val="clear" w:color="auto" w:fill="auto"/>
            <w:vAlign w:val="bottom"/>
          </w:tcPr>
          <w:p w14:paraId="39DEBA7C"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0.3214</w:t>
            </w:r>
          </w:p>
        </w:tc>
        <w:tc>
          <w:tcPr>
            <w:tcW w:w="1274" w:type="dxa"/>
            <w:shd w:val="clear" w:color="auto" w:fill="auto"/>
            <w:vAlign w:val="bottom"/>
          </w:tcPr>
          <w:p w14:paraId="30A4FDF7"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0.0445</w:t>
            </w:r>
          </w:p>
        </w:tc>
        <w:tc>
          <w:tcPr>
            <w:tcW w:w="1274" w:type="dxa"/>
            <w:shd w:val="clear" w:color="auto" w:fill="auto"/>
            <w:vAlign w:val="bottom"/>
          </w:tcPr>
          <w:p w14:paraId="44AFBB2E" w14:textId="77777777" w:rsidR="002A5C58" w:rsidRPr="00D07B22" w:rsidRDefault="002A5C58" w:rsidP="003A2C11">
            <w:pPr>
              <w:pStyle w:val="NoSpacing"/>
              <w:jc w:val="right"/>
              <w:rPr>
                <w:rFonts w:ascii="Times New Roman" w:hAnsi="Times New Roman" w:cs="Times New Roman"/>
                <w:bCs/>
                <w:sz w:val="20"/>
                <w:szCs w:val="20"/>
              </w:rPr>
            </w:pPr>
            <w:r w:rsidRPr="00D07B22">
              <w:rPr>
                <w:rFonts w:ascii="Times New Roman" w:hAnsi="Times New Roman" w:cs="Times New Roman"/>
                <w:bCs/>
                <w:sz w:val="20"/>
                <w:szCs w:val="20"/>
              </w:rPr>
              <w:t>19.70</w:t>
            </w:r>
          </w:p>
        </w:tc>
      </w:tr>
      <w:tr w:rsidR="002A5C58" w:rsidRPr="00D07B22" w14:paraId="5453D912" w14:textId="77777777" w:rsidTr="002A5C58">
        <w:trPr>
          <w:trHeight w:val="227"/>
        </w:trPr>
        <w:tc>
          <w:tcPr>
            <w:tcW w:w="3681" w:type="dxa"/>
            <w:shd w:val="clear" w:color="auto" w:fill="auto"/>
            <w:vAlign w:val="bottom"/>
          </w:tcPr>
          <w:p w14:paraId="10906021" w14:textId="77777777" w:rsidR="002A5C58" w:rsidRPr="00D07B22" w:rsidRDefault="002A5C58" w:rsidP="003A2C11">
            <w:pPr>
              <w:pStyle w:val="NoSpacing"/>
              <w:rPr>
                <w:rFonts w:ascii="Times New Roman" w:hAnsi="Times New Roman" w:cs="Times New Roman"/>
                <w:bCs/>
                <w:sz w:val="20"/>
                <w:szCs w:val="20"/>
              </w:rPr>
            </w:pPr>
            <w:r w:rsidRPr="00D07B22">
              <w:rPr>
                <w:rFonts w:ascii="Times New Roman" w:hAnsi="Times New Roman" w:cs="Times New Roman"/>
                <w:bCs/>
                <w:sz w:val="20"/>
                <w:szCs w:val="20"/>
              </w:rPr>
              <w:t>Not worked in last 12 months</w:t>
            </w:r>
          </w:p>
        </w:tc>
        <w:tc>
          <w:tcPr>
            <w:tcW w:w="1134" w:type="dxa"/>
            <w:shd w:val="clear" w:color="auto" w:fill="auto"/>
            <w:vAlign w:val="bottom"/>
          </w:tcPr>
          <w:p w14:paraId="0DC48DA2"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-0.0038</w:t>
            </w:r>
          </w:p>
        </w:tc>
        <w:tc>
          <w:tcPr>
            <w:tcW w:w="1414" w:type="dxa"/>
            <w:shd w:val="clear" w:color="auto" w:fill="auto"/>
            <w:vAlign w:val="bottom"/>
          </w:tcPr>
          <w:p w14:paraId="487A49CE"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-0.3199</w:t>
            </w:r>
          </w:p>
        </w:tc>
        <w:tc>
          <w:tcPr>
            <w:tcW w:w="1274" w:type="dxa"/>
            <w:shd w:val="clear" w:color="auto" w:fill="auto"/>
            <w:vAlign w:val="bottom"/>
          </w:tcPr>
          <w:p w14:paraId="166E4864"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0.0012</w:t>
            </w:r>
          </w:p>
        </w:tc>
        <w:tc>
          <w:tcPr>
            <w:tcW w:w="1274" w:type="dxa"/>
            <w:shd w:val="clear" w:color="auto" w:fill="auto"/>
            <w:vAlign w:val="bottom"/>
          </w:tcPr>
          <w:p w14:paraId="1FDBF507" w14:textId="77777777" w:rsidR="002A5C58" w:rsidRPr="00D07B22" w:rsidRDefault="002A5C58" w:rsidP="003A2C11">
            <w:pPr>
              <w:pStyle w:val="NoSpacing"/>
              <w:jc w:val="right"/>
              <w:rPr>
                <w:rFonts w:ascii="Times New Roman" w:hAnsi="Times New Roman" w:cs="Times New Roman"/>
                <w:bCs/>
                <w:sz w:val="20"/>
                <w:szCs w:val="20"/>
              </w:rPr>
            </w:pPr>
            <w:r w:rsidRPr="00D07B22">
              <w:rPr>
                <w:rFonts w:ascii="Times New Roman" w:hAnsi="Times New Roman" w:cs="Times New Roman"/>
                <w:bCs/>
                <w:sz w:val="20"/>
                <w:szCs w:val="20"/>
              </w:rPr>
              <w:t>0.54</w:t>
            </w:r>
          </w:p>
        </w:tc>
      </w:tr>
      <w:tr w:rsidR="002A5C58" w:rsidRPr="00D07B22" w14:paraId="0D72E351" w14:textId="77777777" w:rsidTr="002A5C58">
        <w:trPr>
          <w:trHeight w:val="227"/>
        </w:trPr>
        <w:tc>
          <w:tcPr>
            <w:tcW w:w="3681" w:type="dxa"/>
            <w:shd w:val="clear" w:color="auto" w:fill="auto"/>
            <w:vAlign w:val="bottom"/>
          </w:tcPr>
          <w:p w14:paraId="2FBB64FA" w14:textId="77777777" w:rsidR="002A5C58" w:rsidRPr="00D07B22" w:rsidRDefault="002A5C58" w:rsidP="003A2C11">
            <w:pPr>
              <w:pStyle w:val="NoSpacing"/>
              <w:rPr>
                <w:rFonts w:ascii="Times New Roman" w:hAnsi="Times New Roman" w:cs="Times New Roman"/>
                <w:bCs/>
                <w:sz w:val="20"/>
                <w:szCs w:val="20"/>
              </w:rPr>
            </w:pPr>
            <w:r w:rsidRPr="00D07B22">
              <w:rPr>
                <w:rFonts w:ascii="Times New Roman" w:hAnsi="Times New Roman" w:cs="Times New Roman"/>
                <w:bCs/>
                <w:sz w:val="20"/>
                <w:szCs w:val="20"/>
              </w:rPr>
              <w:t xml:space="preserve">Did not receive </w:t>
            </w:r>
            <w:r>
              <w:rPr>
                <w:rFonts w:ascii="Times New Roman" w:hAnsi="Times New Roman" w:cs="Times New Roman"/>
                <w:bCs/>
                <w:sz w:val="20"/>
                <w:szCs w:val="20"/>
              </w:rPr>
              <w:t>f</w:t>
            </w:r>
            <w:r w:rsidRPr="00D07B22">
              <w:rPr>
                <w:rFonts w:ascii="Times New Roman" w:hAnsi="Times New Roman" w:cs="Times New Roman"/>
                <w:bCs/>
                <w:sz w:val="20"/>
                <w:szCs w:val="20"/>
              </w:rPr>
              <w:t xml:space="preserve">amily </w:t>
            </w:r>
            <w:r>
              <w:rPr>
                <w:rFonts w:ascii="Times New Roman" w:hAnsi="Times New Roman" w:cs="Times New Roman"/>
                <w:bCs/>
                <w:sz w:val="20"/>
                <w:szCs w:val="20"/>
              </w:rPr>
              <w:t>l</w:t>
            </w:r>
            <w:r w:rsidRPr="00D07B22">
              <w:rPr>
                <w:rFonts w:ascii="Times New Roman" w:hAnsi="Times New Roman" w:cs="Times New Roman"/>
                <w:bCs/>
                <w:sz w:val="20"/>
                <w:szCs w:val="20"/>
              </w:rPr>
              <w:t>ife/</w:t>
            </w:r>
            <w:r>
              <w:rPr>
                <w:rFonts w:ascii="Times New Roman" w:hAnsi="Times New Roman" w:cs="Times New Roman"/>
                <w:bCs/>
                <w:sz w:val="20"/>
                <w:szCs w:val="20"/>
              </w:rPr>
              <w:t>s</w:t>
            </w:r>
            <w:r w:rsidRPr="00D07B22">
              <w:rPr>
                <w:rFonts w:ascii="Times New Roman" w:hAnsi="Times New Roman" w:cs="Times New Roman"/>
                <w:bCs/>
                <w:sz w:val="20"/>
                <w:szCs w:val="20"/>
              </w:rPr>
              <w:t xml:space="preserve">ex </w:t>
            </w:r>
            <w:r>
              <w:rPr>
                <w:rFonts w:ascii="Times New Roman" w:hAnsi="Times New Roman" w:cs="Times New Roman"/>
                <w:bCs/>
                <w:sz w:val="20"/>
                <w:szCs w:val="20"/>
              </w:rPr>
              <w:t>e</w:t>
            </w:r>
            <w:r w:rsidRPr="00D07B22">
              <w:rPr>
                <w:rFonts w:ascii="Times New Roman" w:hAnsi="Times New Roman" w:cs="Times New Roman"/>
                <w:bCs/>
                <w:sz w:val="20"/>
                <w:szCs w:val="20"/>
              </w:rPr>
              <w:t>ducation</w:t>
            </w:r>
          </w:p>
        </w:tc>
        <w:tc>
          <w:tcPr>
            <w:tcW w:w="1134" w:type="dxa"/>
            <w:shd w:val="clear" w:color="auto" w:fill="auto"/>
            <w:vAlign w:val="bottom"/>
          </w:tcPr>
          <w:p w14:paraId="431D91B4"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0.0914</w:t>
            </w:r>
          </w:p>
        </w:tc>
        <w:tc>
          <w:tcPr>
            <w:tcW w:w="1414" w:type="dxa"/>
            <w:shd w:val="clear" w:color="auto" w:fill="auto"/>
            <w:vAlign w:val="bottom"/>
          </w:tcPr>
          <w:p w14:paraId="606B79C9"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0.1129</w:t>
            </w:r>
          </w:p>
        </w:tc>
        <w:tc>
          <w:tcPr>
            <w:tcW w:w="1274" w:type="dxa"/>
            <w:shd w:val="clear" w:color="auto" w:fill="auto"/>
            <w:vAlign w:val="bottom"/>
          </w:tcPr>
          <w:p w14:paraId="162BF43B"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0.0103</w:t>
            </w:r>
          </w:p>
        </w:tc>
        <w:tc>
          <w:tcPr>
            <w:tcW w:w="1274" w:type="dxa"/>
            <w:shd w:val="clear" w:color="auto" w:fill="auto"/>
            <w:vAlign w:val="bottom"/>
          </w:tcPr>
          <w:p w14:paraId="2F45379A" w14:textId="77777777" w:rsidR="002A5C58" w:rsidRPr="00D07B22" w:rsidRDefault="002A5C58" w:rsidP="003A2C11">
            <w:pPr>
              <w:pStyle w:val="NoSpacing"/>
              <w:jc w:val="right"/>
              <w:rPr>
                <w:rFonts w:ascii="Times New Roman" w:hAnsi="Times New Roman" w:cs="Times New Roman"/>
                <w:bCs/>
                <w:sz w:val="20"/>
                <w:szCs w:val="20"/>
              </w:rPr>
            </w:pPr>
            <w:r w:rsidRPr="00D07B22">
              <w:rPr>
                <w:rFonts w:ascii="Times New Roman" w:hAnsi="Times New Roman" w:cs="Times New Roman"/>
                <w:bCs/>
                <w:sz w:val="20"/>
                <w:szCs w:val="20"/>
              </w:rPr>
              <w:t>4.57</w:t>
            </w:r>
          </w:p>
        </w:tc>
      </w:tr>
      <w:tr w:rsidR="002A5C58" w:rsidRPr="00D07B22" w14:paraId="5CB14899" w14:textId="77777777" w:rsidTr="002A5C58">
        <w:trPr>
          <w:trHeight w:val="227"/>
        </w:trPr>
        <w:tc>
          <w:tcPr>
            <w:tcW w:w="3681" w:type="dxa"/>
            <w:shd w:val="clear" w:color="auto" w:fill="auto"/>
            <w:vAlign w:val="bottom"/>
          </w:tcPr>
          <w:p w14:paraId="0B876223" w14:textId="77777777" w:rsidR="002A5C58" w:rsidRPr="00D07B22" w:rsidRDefault="002A5C58" w:rsidP="003A2C11">
            <w:pPr>
              <w:pStyle w:val="NoSpacing"/>
              <w:rPr>
                <w:rFonts w:ascii="Times New Roman" w:hAnsi="Times New Roman" w:cs="Times New Roman"/>
                <w:bCs/>
                <w:sz w:val="20"/>
                <w:szCs w:val="20"/>
              </w:rPr>
            </w:pPr>
            <w:r w:rsidRPr="00D07B22">
              <w:rPr>
                <w:rFonts w:ascii="Times New Roman" w:hAnsi="Times New Roman" w:cs="Times New Roman"/>
                <w:bCs/>
                <w:sz w:val="20"/>
                <w:szCs w:val="20"/>
              </w:rPr>
              <w:t>Unaware about RTI/STI</w:t>
            </w:r>
          </w:p>
        </w:tc>
        <w:tc>
          <w:tcPr>
            <w:tcW w:w="1134" w:type="dxa"/>
            <w:shd w:val="clear" w:color="auto" w:fill="auto"/>
            <w:vAlign w:val="bottom"/>
          </w:tcPr>
          <w:p w14:paraId="63CC85AC"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0.0661</w:t>
            </w:r>
          </w:p>
        </w:tc>
        <w:tc>
          <w:tcPr>
            <w:tcW w:w="1414" w:type="dxa"/>
            <w:shd w:val="clear" w:color="auto" w:fill="auto"/>
            <w:vAlign w:val="bottom"/>
          </w:tcPr>
          <w:p w14:paraId="3830F0BA"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0.1508</w:t>
            </w:r>
          </w:p>
        </w:tc>
        <w:tc>
          <w:tcPr>
            <w:tcW w:w="1274" w:type="dxa"/>
            <w:shd w:val="clear" w:color="auto" w:fill="auto"/>
            <w:vAlign w:val="bottom"/>
          </w:tcPr>
          <w:p w14:paraId="488FCFDC"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0.0100</w:t>
            </w:r>
          </w:p>
        </w:tc>
        <w:tc>
          <w:tcPr>
            <w:tcW w:w="1274" w:type="dxa"/>
            <w:shd w:val="clear" w:color="auto" w:fill="auto"/>
            <w:vAlign w:val="bottom"/>
          </w:tcPr>
          <w:p w14:paraId="5025FEEA" w14:textId="77777777" w:rsidR="002A5C58" w:rsidRPr="00D07B22" w:rsidRDefault="002A5C58" w:rsidP="003A2C11">
            <w:pPr>
              <w:pStyle w:val="NoSpacing"/>
              <w:jc w:val="right"/>
              <w:rPr>
                <w:rFonts w:ascii="Times New Roman" w:hAnsi="Times New Roman" w:cs="Times New Roman"/>
                <w:bCs/>
                <w:sz w:val="20"/>
                <w:szCs w:val="20"/>
              </w:rPr>
            </w:pPr>
            <w:r w:rsidRPr="00D07B22">
              <w:rPr>
                <w:rFonts w:ascii="Times New Roman" w:hAnsi="Times New Roman" w:cs="Times New Roman"/>
                <w:bCs/>
                <w:sz w:val="20"/>
                <w:szCs w:val="20"/>
              </w:rPr>
              <w:t>4.41</w:t>
            </w:r>
          </w:p>
        </w:tc>
      </w:tr>
      <w:tr w:rsidR="002A5C58" w:rsidRPr="00D07B22" w14:paraId="66400E66" w14:textId="77777777" w:rsidTr="002A5C58">
        <w:trPr>
          <w:trHeight w:val="227"/>
        </w:trPr>
        <w:tc>
          <w:tcPr>
            <w:tcW w:w="3681" w:type="dxa"/>
            <w:shd w:val="clear" w:color="auto" w:fill="auto"/>
            <w:vAlign w:val="bottom"/>
          </w:tcPr>
          <w:p w14:paraId="183AFD83" w14:textId="77777777" w:rsidR="002A5C58" w:rsidRPr="00D07B22" w:rsidRDefault="002A5C58" w:rsidP="003A2C11">
            <w:pPr>
              <w:pStyle w:val="NoSpacing"/>
              <w:rPr>
                <w:rFonts w:ascii="Times New Roman" w:hAnsi="Times New Roman" w:cs="Times New Roman"/>
                <w:bCs/>
                <w:sz w:val="20"/>
                <w:szCs w:val="20"/>
              </w:rPr>
            </w:pPr>
            <w:r w:rsidRPr="00D07B22">
              <w:rPr>
                <w:rFonts w:ascii="Times New Roman" w:hAnsi="Times New Roman" w:cs="Times New Roman"/>
                <w:bCs/>
                <w:sz w:val="20"/>
                <w:szCs w:val="20"/>
              </w:rPr>
              <w:t xml:space="preserve">Unavailability of </w:t>
            </w:r>
            <w:r>
              <w:rPr>
                <w:rFonts w:ascii="Times New Roman" w:hAnsi="Times New Roman" w:cs="Times New Roman"/>
                <w:bCs/>
                <w:sz w:val="20"/>
                <w:szCs w:val="20"/>
              </w:rPr>
              <w:t>t</w:t>
            </w:r>
            <w:r w:rsidRPr="00D07B22">
              <w:rPr>
                <w:rFonts w:ascii="Times New Roman" w:hAnsi="Times New Roman" w:cs="Times New Roman"/>
                <w:bCs/>
                <w:sz w:val="20"/>
                <w:szCs w:val="20"/>
              </w:rPr>
              <w:t>oilet</w:t>
            </w:r>
          </w:p>
        </w:tc>
        <w:tc>
          <w:tcPr>
            <w:tcW w:w="1134" w:type="dxa"/>
            <w:shd w:val="clear" w:color="auto" w:fill="auto"/>
            <w:vAlign w:val="bottom"/>
          </w:tcPr>
          <w:p w14:paraId="2A1C3B98"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0.4210</w:t>
            </w:r>
          </w:p>
        </w:tc>
        <w:tc>
          <w:tcPr>
            <w:tcW w:w="1414" w:type="dxa"/>
            <w:shd w:val="clear" w:color="auto" w:fill="auto"/>
            <w:vAlign w:val="bottom"/>
          </w:tcPr>
          <w:p w14:paraId="1827081E"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0.2304</w:t>
            </w:r>
          </w:p>
        </w:tc>
        <w:tc>
          <w:tcPr>
            <w:tcW w:w="1274" w:type="dxa"/>
            <w:shd w:val="clear" w:color="auto" w:fill="auto"/>
            <w:vAlign w:val="bottom"/>
          </w:tcPr>
          <w:p w14:paraId="2C6F2ED5"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0.0970</w:t>
            </w:r>
          </w:p>
        </w:tc>
        <w:tc>
          <w:tcPr>
            <w:tcW w:w="1274" w:type="dxa"/>
            <w:shd w:val="clear" w:color="auto" w:fill="auto"/>
            <w:vAlign w:val="bottom"/>
          </w:tcPr>
          <w:p w14:paraId="4064633E" w14:textId="77777777" w:rsidR="002A5C58" w:rsidRPr="00D07B22" w:rsidRDefault="002A5C58" w:rsidP="003A2C11">
            <w:pPr>
              <w:pStyle w:val="NoSpacing"/>
              <w:jc w:val="right"/>
              <w:rPr>
                <w:rFonts w:ascii="Times New Roman" w:hAnsi="Times New Roman" w:cs="Times New Roman"/>
                <w:bCs/>
                <w:sz w:val="20"/>
                <w:szCs w:val="20"/>
              </w:rPr>
            </w:pPr>
            <w:r w:rsidRPr="00D07B22">
              <w:rPr>
                <w:rFonts w:ascii="Times New Roman" w:hAnsi="Times New Roman" w:cs="Times New Roman"/>
                <w:bCs/>
                <w:sz w:val="20"/>
                <w:szCs w:val="20"/>
              </w:rPr>
              <w:t>42.91</w:t>
            </w:r>
          </w:p>
        </w:tc>
      </w:tr>
      <w:tr w:rsidR="002A5C58" w:rsidRPr="00D07B22" w14:paraId="649C699B" w14:textId="77777777" w:rsidTr="002A5C58">
        <w:trPr>
          <w:trHeight w:val="227"/>
        </w:trPr>
        <w:tc>
          <w:tcPr>
            <w:tcW w:w="3681" w:type="dxa"/>
            <w:shd w:val="clear" w:color="auto" w:fill="auto"/>
            <w:vAlign w:val="bottom"/>
          </w:tcPr>
          <w:p w14:paraId="427546D5" w14:textId="77777777" w:rsidR="002A5C58" w:rsidRPr="00D07B22" w:rsidRDefault="002A5C58" w:rsidP="003A2C11">
            <w:pPr>
              <w:pStyle w:val="NoSpacing"/>
              <w:rPr>
                <w:rFonts w:ascii="Times New Roman" w:hAnsi="Times New Roman" w:cs="Times New Roman"/>
                <w:sz w:val="20"/>
                <w:szCs w:val="20"/>
              </w:rPr>
            </w:pPr>
            <w:r w:rsidRPr="00D07B22">
              <w:rPr>
                <w:rFonts w:ascii="Times New Roman" w:hAnsi="Times New Roman" w:cs="Times New Roman"/>
                <w:sz w:val="20"/>
                <w:szCs w:val="20"/>
              </w:rPr>
              <w:t> </w:t>
            </w:r>
          </w:p>
        </w:tc>
        <w:tc>
          <w:tcPr>
            <w:tcW w:w="1134" w:type="dxa"/>
            <w:shd w:val="clear" w:color="auto" w:fill="auto"/>
            <w:vAlign w:val="bottom"/>
          </w:tcPr>
          <w:p w14:paraId="282B22CF" w14:textId="77777777" w:rsidR="002A5C58" w:rsidRPr="00D07B22" w:rsidRDefault="002A5C58" w:rsidP="003A2C11">
            <w:pPr>
              <w:pStyle w:val="NoSpacing"/>
              <w:jc w:val="right"/>
              <w:rPr>
                <w:rFonts w:ascii="Times New Roman" w:hAnsi="Times New Roman" w:cs="Times New Roman"/>
                <w:sz w:val="20"/>
                <w:szCs w:val="20"/>
              </w:rPr>
            </w:pPr>
          </w:p>
        </w:tc>
        <w:tc>
          <w:tcPr>
            <w:tcW w:w="1414" w:type="dxa"/>
            <w:shd w:val="clear" w:color="auto" w:fill="auto"/>
            <w:vAlign w:val="bottom"/>
          </w:tcPr>
          <w:p w14:paraId="19E33957" w14:textId="77777777" w:rsidR="002A5C58" w:rsidRPr="00D07B22" w:rsidRDefault="002A5C58" w:rsidP="003A2C11">
            <w:pPr>
              <w:pStyle w:val="NoSpacing"/>
              <w:jc w:val="right"/>
              <w:rPr>
                <w:rFonts w:ascii="Times New Roman" w:hAnsi="Times New Roman" w:cs="Times New Roman"/>
                <w:sz w:val="20"/>
                <w:szCs w:val="20"/>
              </w:rPr>
            </w:pPr>
          </w:p>
        </w:tc>
        <w:tc>
          <w:tcPr>
            <w:tcW w:w="1274" w:type="dxa"/>
            <w:shd w:val="clear" w:color="auto" w:fill="auto"/>
            <w:vAlign w:val="bottom"/>
          </w:tcPr>
          <w:p w14:paraId="3D1B85CA"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0.2260</w:t>
            </w:r>
          </w:p>
        </w:tc>
        <w:tc>
          <w:tcPr>
            <w:tcW w:w="1274" w:type="dxa"/>
            <w:shd w:val="clear" w:color="auto" w:fill="auto"/>
            <w:vAlign w:val="bottom"/>
          </w:tcPr>
          <w:p w14:paraId="63E85F49" w14:textId="77777777" w:rsidR="002A5C58" w:rsidRPr="00D07B22" w:rsidRDefault="002A5C58" w:rsidP="003A2C11">
            <w:pPr>
              <w:pStyle w:val="NoSpacing"/>
              <w:jc w:val="right"/>
              <w:rPr>
                <w:rFonts w:ascii="Times New Roman" w:hAnsi="Times New Roman" w:cs="Times New Roman"/>
                <w:sz w:val="20"/>
                <w:szCs w:val="20"/>
              </w:rPr>
            </w:pPr>
            <w:r w:rsidRPr="00D07B22">
              <w:rPr>
                <w:rFonts w:ascii="Times New Roman" w:hAnsi="Times New Roman" w:cs="Times New Roman"/>
                <w:sz w:val="20"/>
                <w:szCs w:val="20"/>
              </w:rPr>
              <w:t>100.00</w:t>
            </w:r>
          </w:p>
        </w:tc>
      </w:tr>
    </w:tbl>
    <w:p w14:paraId="34C8714C" w14:textId="77777777" w:rsidR="002A5C58" w:rsidRDefault="002A5C58" w:rsidP="00CA64D1">
      <w:pPr>
        <w:spacing w:after="0" w:line="240" w:lineRule="auto"/>
        <w:ind w:firstLine="567"/>
        <w:jc w:val="both"/>
        <w:rPr>
          <w:rFonts w:asciiTheme="minorBidi" w:hAnsiTheme="minorBidi" w:cs="Times New Roman"/>
          <w:b/>
        </w:rPr>
      </w:pPr>
    </w:p>
    <w:p w14:paraId="6FB679FF" w14:textId="2C086A5F" w:rsidR="002E66D2" w:rsidRDefault="002E66D2" w:rsidP="00CA64D1">
      <w:pPr>
        <w:spacing w:after="0" w:line="240" w:lineRule="auto"/>
        <w:ind w:firstLine="567"/>
        <w:jc w:val="both"/>
        <w:rPr>
          <w:rFonts w:asciiTheme="minorBidi" w:hAnsiTheme="minorBidi" w:cs="Times New Roman"/>
        </w:rPr>
      </w:pPr>
      <w:r w:rsidRPr="00CA64D1">
        <w:rPr>
          <w:rFonts w:asciiTheme="minorBidi" w:hAnsiTheme="minorBidi" w:cs="Times New Roman"/>
        </w:rPr>
        <w:t xml:space="preserve">Table 2 provides the results of decomposition analysis of socio-economic inequalities in sanitary napkins use by EAG states and Assam. The results </w:t>
      </w:r>
      <w:r w:rsidR="00BE232B">
        <w:rPr>
          <w:rFonts w:asciiTheme="minorBidi" w:hAnsiTheme="minorBidi" w:cs="Times New Roman"/>
        </w:rPr>
        <w:t>suggest</w:t>
      </w:r>
      <w:r w:rsidRPr="00CA64D1">
        <w:rPr>
          <w:rFonts w:asciiTheme="minorBidi" w:hAnsiTheme="minorBidi" w:cs="Times New Roman"/>
        </w:rPr>
        <w:t xml:space="preserve"> that the contribution of unavailability of toilet in </w:t>
      </w:r>
      <w:r w:rsidR="00F223FF">
        <w:rPr>
          <w:rFonts w:asciiTheme="minorBidi" w:hAnsiTheme="minorBidi" w:cs="Times New Roman"/>
        </w:rPr>
        <w:t>the households was more than 40 per cent</w:t>
      </w:r>
      <w:r w:rsidRPr="00CA64D1">
        <w:rPr>
          <w:rFonts w:asciiTheme="minorBidi" w:hAnsiTheme="minorBidi" w:cs="Times New Roman"/>
        </w:rPr>
        <w:t xml:space="preserve"> in Chhattisgarh (50</w:t>
      </w:r>
      <w:r w:rsidR="00BC36F7">
        <w:rPr>
          <w:rFonts w:asciiTheme="minorBidi" w:hAnsiTheme="minorBidi" w:cs="Times New Roman"/>
        </w:rPr>
        <w:t>%</w:t>
      </w:r>
      <w:r w:rsidRPr="00CA64D1">
        <w:rPr>
          <w:rFonts w:asciiTheme="minorBidi" w:hAnsiTheme="minorBidi" w:cs="Times New Roman"/>
        </w:rPr>
        <w:t>), Uttar Pradesh (46</w:t>
      </w:r>
      <w:r w:rsidR="00BC36F7">
        <w:rPr>
          <w:rFonts w:asciiTheme="minorBidi" w:hAnsiTheme="minorBidi" w:cs="Times New Roman"/>
        </w:rPr>
        <w:t>%</w:t>
      </w:r>
      <w:r w:rsidRPr="00CA64D1">
        <w:rPr>
          <w:rFonts w:asciiTheme="minorBidi" w:hAnsiTheme="minorBidi" w:cs="Times New Roman"/>
        </w:rPr>
        <w:t>) and Orissa (42</w:t>
      </w:r>
      <w:r w:rsidR="00BC36F7">
        <w:rPr>
          <w:rFonts w:asciiTheme="minorBidi" w:hAnsiTheme="minorBidi" w:cs="Times New Roman"/>
        </w:rPr>
        <w:t>%</w:t>
      </w:r>
      <w:r w:rsidRPr="00CA64D1">
        <w:rPr>
          <w:rFonts w:asciiTheme="minorBidi" w:hAnsiTheme="minorBidi" w:cs="Times New Roman"/>
        </w:rPr>
        <w:t>); 20-40</w:t>
      </w:r>
      <w:r w:rsidR="00F223FF">
        <w:rPr>
          <w:rFonts w:asciiTheme="minorBidi" w:hAnsiTheme="minorBidi" w:cs="Times New Roman"/>
        </w:rPr>
        <w:t xml:space="preserve"> per cent</w:t>
      </w:r>
      <w:r w:rsidRPr="00CA64D1">
        <w:rPr>
          <w:rFonts w:asciiTheme="minorBidi" w:hAnsiTheme="minorBidi" w:cs="Times New Roman"/>
        </w:rPr>
        <w:t xml:space="preserve"> in Madhya Pradesh (36</w:t>
      </w:r>
      <w:r w:rsidR="00BC36F7">
        <w:rPr>
          <w:rFonts w:asciiTheme="minorBidi" w:hAnsiTheme="minorBidi" w:cs="Times New Roman"/>
        </w:rPr>
        <w:t>%</w:t>
      </w:r>
      <w:r w:rsidRPr="00CA64D1">
        <w:rPr>
          <w:rFonts w:asciiTheme="minorBidi" w:hAnsiTheme="minorBidi" w:cs="Times New Roman"/>
        </w:rPr>
        <w:t>), Jharkhand (32</w:t>
      </w:r>
      <w:r w:rsidR="00BC36F7">
        <w:rPr>
          <w:rFonts w:asciiTheme="minorBidi" w:hAnsiTheme="minorBidi" w:cs="Times New Roman"/>
        </w:rPr>
        <w:t>%</w:t>
      </w:r>
      <w:r w:rsidRPr="00CA64D1">
        <w:rPr>
          <w:rFonts w:asciiTheme="minorBidi" w:hAnsiTheme="minorBidi" w:cs="Times New Roman"/>
        </w:rPr>
        <w:t>), Bihar (31</w:t>
      </w:r>
      <w:r w:rsidR="00BC36F7">
        <w:rPr>
          <w:rFonts w:asciiTheme="minorBidi" w:hAnsiTheme="minorBidi" w:cs="Times New Roman"/>
        </w:rPr>
        <w:t>%</w:t>
      </w:r>
      <w:r w:rsidRPr="00CA64D1">
        <w:rPr>
          <w:rFonts w:asciiTheme="minorBidi" w:hAnsiTheme="minorBidi" w:cs="Times New Roman"/>
        </w:rPr>
        <w:t>), Rajasthan (28</w:t>
      </w:r>
      <w:r w:rsidR="00BC36F7">
        <w:rPr>
          <w:rFonts w:asciiTheme="minorBidi" w:hAnsiTheme="minorBidi" w:cs="Times New Roman"/>
        </w:rPr>
        <w:t>%)</w:t>
      </w:r>
      <w:r w:rsidRPr="00CA64D1">
        <w:rPr>
          <w:rFonts w:asciiTheme="minorBidi" w:hAnsiTheme="minorBidi" w:cs="Times New Roman"/>
        </w:rPr>
        <w:t xml:space="preserve"> and Uttarakhand (24</w:t>
      </w:r>
      <w:r w:rsidR="00BC36F7">
        <w:rPr>
          <w:rFonts w:asciiTheme="minorBidi" w:hAnsiTheme="minorBidi" w:cs="Times New Roman"/>
        </w:rPr>
        <w:t>%</w:t>
      </w:r>
      <w:r w:rsidRPr="00CA64D1">
        <w:rPr>
          <w:rFonts w:asciiTheme="minorBidi" w:hAnsiTheme="minorBidi" w:cs="Times New Roman"/>
        </w:rPr>
        <w:t>). The number of years of schooling was another important contributor in the use of sanitary napkins: Madhya Pradesh (42</w:t>
      </w:r>
      <w:r w:rsidR="00BC36F7">
        <w:rPr>
          <w:rFonts w:asciiTheme="minorBidi" w:hAnsiTheme="minorBidi" w:cs="Times New Roman"/>
        </w:rPr>
        <w:t>%</w:t>
      </w:r>
      <w:r w:rsidRPr="00CA64D1">
        <w:rPr>
          <w:rFonts w:asciiTheme="minorBidi" w:hAnsiTheme="minorBidi" w:cs="Times New Roman"/>
        </w:rPr>
        <w:t>), Uttarakhand (37</w:t>
      </w:r>
      <w:r w:rsidR="00BC36F7">
        <w:rPr>
          <w:rFonts w:asciiTheme="minorBidi" w:hAnsiTheme="minorBidi" w:cs="Times New Roman"/>
        </w:rPr>
        <w:t>%</w:t>
      </w:r>
      <w:r w:rsidRPr="00CA64D1">
        <w:rPr>
          <w:rFonts w:asciiTheme="minorBidi" w:hAnsiTheme="minorBidi" w:cs="Times New Roman"/>
        </w:rPr>
        <w:t>), Rajasthan (35</w:t>
      </w:r>
      <w:r w:rsidR="00BC36F7">
        <w:rPr>
          <w:rFonts w:asciiTheme="minorBidi" w:hAnsiTheme="minorBidi" w:cs="Times New Roman"/>
        </w:rPr>
        <w:t>%</w:t>
      </w:r>
      <w:r w:rsidRPr="00CA64D1">
        <w:rPr>
          <w:rFonts w:asciiTheme="minorBidi" w:hAnsiTheme="minorBidi" w:cs="Times New Roman"/>
        </w:rPr>
        <w:t>), Bihar and Uttar Pradesh (25</w:t>
      </w:r>
      <w:r w:rsidR="00BC36F7">
        <w:rPr>
          <w:rFonts w:asciiTheme="minorBidi" w:hAnsiTheme="minorBidi" w:cs="Times New Roman"/>
        </w:rPr>
        <w:t>%</w:t>
      </w:r>
      <w:r w:rsidRPr="00CA64D1">
        <w:rPr>
          <w:rFonts w:asciiTheme="minorBidi" w:hAnsiTheme="minorBidi" w:cs="Times New Roman"/>
        </w:rPr>
        <w:t xml:space="preserve">). Place of residence was the third most pertinent contributor to the total inequality in the use of sanitary napkins; </w:t>
      </w:r>
      <w:r w:rsidR="009B1AF2">
        <w:rPr>
          <w:rFonts w:asciiTheme="minorBidi" w:hAnsiTheme="minorBidi" w:cs="Times New Roman"/>
        </w:rPr>
        <w:t>place of residence</w:t>
      </w:r>
      <w:r w:rsidRPr="00CA64D1">
        <w:rPr>
          <w:rFonts w:asciiTheme="minorBidi" w:hAnsiTheme="minorBidi" w:cs="Times New Roman"/>
        </w:rPr>
        <w:t xml:space="preserve"> showed the highest contribution in the state of Assam (47</w:t>
      </w:r>
      <w:r w:rsidR="00BC36F7">
        <w:rPr>
          <w:rFonts w:asciiTheme="minorBidi" w:hAnsiTheme="minorBidi" w:cs="Times New Roman"/>
        </w:rPr>
        <w:t>%</w:t>
      </w:r>
      <w:r w:rsidRPr="00CA64D1">
        <w:rPr>
          <w:rFonts w:asciiTheme="minorBidi" w:hAnsiTheme="minorBidi" w:cs="Times New Roman"/>
        </w:rPr>
        <w:t>). Th</w:t>
      </w:r>
      <w:r w:rsidR="00E81A05">
        <w:rPr>
          <w:rFonts w:asciiTheme="minorBidi" w:hAnsiTheme="minorBidi" w:cs="Times New Roman"/>
        </w:rPr>
        <w:t xml:space="preserve">is </w:t>
      </w:r>
      <w:r w:rsidRPr="00CA64D1">
        <w:rPr>
          <w:rFonts w:asciiTheme="minorBidi" w:hAnsiTheme="minorBidi" w:cs="Times New Roman"/>
        </w:rPr>
        <w:t xml:space="preserve">state follows a unique pattern as compared </w:t>
      </w:r>
      <w:r w:rsidR="00E81A05">
        <w:rPr>
          <w:rFonts w:asciiTheme="minorBidi" w:hAnsiTheme="minorBidi" w:cs="Times New Roman"/>
        </w:rPr>
        <w:t>with</w:t>
      </w:r>
      <w:r w:rsidRPr="00CA64D1">
        <w:rPr>
          <w:rFonts w:asciiTheme="minorBidi" w:hAnsiTheme="minorBidi" w:cs="Times New Roman"/>
        </w:rPr>
        <w:t xml:space="preserve"> the EAG states and at the national level. </w:t>
      </w:r>
      <w:r w:rsidR="00E81A05">
        <w:rPr>
          <w:rFonts w:asciiTheme="minorBidi" w:hAnsiTheme="minorBidi" w:cs="Times New Roman"/>
        </w:rPr>
        <w:t xml:space="preserve">There </w:t>
      </w:r>
      <w:r w:rsidRPr="00CA64D1">
        <w:rPr>
          <w:rFonts w:asciiTheme="minorBidi" w:hAnsiTheme="minorBidi" w:cs="Times New Roman"/>
        </w:rPr>
        <w:t>70</w:t>
      </w:r>
      <w:r w:rsidR="00F223FF">
        <w:rPr>
          <w:rFonts w:asciiTheme="minorBidi" w:hAnsiTheme="minorBidi" w:cs="Times New Roman"/>
        </w:rPr>
        <w:t xml:space="preserve"> per cent</w:t>
      </w:r>
      <w:r w:rsidRPr="00CA64D1">
        <w:rPr>
          <w:rFonts w:asciiTheme="minorBidi" w:hAnsiTheme="minorBidi" w:cs="Times New Roman"/>
        </w:rPr>
        <w:t xml:space="preserve"> of the inequality is attributable to the residential status and economic status of the household of the unmarried adolescent and young women. </w:t>
      </w:r>
    </w:p>
    <w:p w14:paraId="70C560D8" w14:textId="77777777" w:rsidR="00DF3D4B" w:rsidRDefault="00DF3D4B" w:rsidP="00AF6774">
      <w:pPr>
        <w:spacing w:after="0" w:line="240" w:lineRule="auto"/>
        <w:jc w:val="both"/>
        <w:rPr>
          <w:rFonts w:ascii="Times New Roman" w:hAnsi="Times New Roman" w:cs="Times New Roman"/>
        </w:rPr>
      </w:pPr>
    </w:p>
    <w:p w14:paraId="795299E5" w14:textId="0CAF3293" w:rsidR="00AF6774" w:rsidRPr="00AF6774" w:rsidRDefault="00AF6774" w:rsidP="00AF6774">
      <w:pPr>
        <w:spacing w:after="0" w:line="240" w:lineRule="auto"/>
        <w:jc w:val="both"/>
        <w:rPr>
          <w:rFonts w:ascii="Times New Roman" w:hAnsi="Times New Roman" w:cs="Times New Roman"/>
        </w:rPr>
      </w:pPr>
      <w:r w:rsidRPr="00AF6774">
        <w:rPr>
          <w:rFonts w:ascii="Times New Roman" w:hAnsi="Times New Roman" w:cs="Times New Roman"/>
        </w:rPr>
        <w:t>Table 2: Contribution of various socio-economic covariates in utilization of sanitary napkins in India and EAG states, 2007-08</w:t>
      </w:r>
    </w:p>
    <w:p w14:paraId="125B599D" w14:textId="558998A7" w:rsidR="00AF6774" w:rsidRPr="00CA64D1" w:rsidRDefault="00AF6774" w:rsidP="00AF6774">
      <w:pPr>
        <w:spacing w:after="0" w:line="240" w:lineRule="auto"/>
        <w:jc w:val="both"/>
        <w:rPr>
          <w:rFonts w:asciiTheme="minorBidi" w:hAnsiTheme="minorBidi" w:cs="Times New Roma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708"/>
        <w:gridCol w:w="567"/>
        <w:gridCol w:w="567"/>
        <w:gridCol w:w="567"/>
        <w:gridCol w:w="567"/>
        <w:gridCol w:w="567"/>
        <w:gridCol w:w="567"/>
        <w:gridCol w:w="567"/>
        <w:gridCol w:w="567"/>
        <w:gridCol w:w="567"/>
      </w:tblGrid>
      <w:tr w:rsidR="00AF6774" w:rsidRPr="00580682" w14:paraId="2D77D56D" w14:textId="77777777" w:rsidTr="00973096">
        <w:trPr>
          <w:trHeight w:val="20"/>
        </w:trPr>
        <w:tc>
          <w:tcPr>
            <w:tcW w:w="3256" w:type="dxa"/>
            <w:tcBorders>
              <w:top w:val="single" w:sz="4" w:space="0" w:color="auto"/>
              <w:left w:val="nil"/>
              <w:bottom w:val="single" w:sz="4" w:space="0" w:color="auto"/>
              <w:right w:val="nil"/>
            </w:tcBorders>
            <w:shd w:val="clear" w:color="auto" w:fill="auto"/>
            <w:noWrap/>
            <w:vAlign w:val="bottom"/>
            <w:hideMark/>
          </w:tcPr>
          <w:p w14:paraId="2A73FEFD" w14:textId="77777777" w:rsidR="00AF6774" w:rsidRPr="00580682" w:rsidRDefault="00AF6774" w:rsidP="00AF6774">
            <w:pPr>
              <w:pStyle w:val="NoSpacing"/>
              <w:rPr>
                <w:rFonts w:ascii="Times New Roman" w:hAnsi="Times New Roman" w:cs="Times New Roman"/>
                <w:sz w:val="20"/>
                <w:szCs w:val="20"/>
              </w:rPr>
            </w:pPr>
            <w:r w:rsidRPr="00580682">
              <w:rPr>
                <w:rFonts w:ascii="Times New Roman" w:hAnsi="Times New Roman" w:cs="Times New Roman"/>
                <w:sz w:val="20"/>
                <w:szCs w:val="20"/>
              </w:rPr>
              <w:t>Determinants</w:t>
            </w:r>
          </w:p>
        </w:tc>
        <w:tc>
          <w:tcPr>
            <w:tcW w:w="708" w:type="dxa"/>
            <w:tcBorders>
              <w:top w:val="single" w:sz="4" w:space="0" w:color="auto"/>
              <w:left w:val="nil"/>
              <w:bottom w:val="single" w:sz="4" w:space="0" w:color="auto"/>
              <w:right w:val="nil"/>
            </w:tcBorders>
            <w:shd w:val="clear" w:color="auto" w:fill="auto"/>
            <w:noWrap/>
            <w:vAlign w:val="bottom"/>
            <w:hideMark/>
          </w:tcPr>
          <w:p w14:paraId="3F09EF60"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India</w:t>
            </w:r>
          </w:p>
        </w:tc>
        <w:tc>
          <w:tcPr>
            <w:tcW w:w="567" w:type="dxa"/>
            <w:tcBorders>
              <w:top w:val="single" w:sz="4" w:space="0" w:color="auto"/>
              <w:left w:val="nil"/>
              <w:bottom w:val="single" w:sz="4" w:space="0" w:color="auto"/>
              <w:right w:val="nil"/>
            </w:tcBorders>
            <w:shd w:val="clear" w:color="auto" w:fill="auto"/>
            <w:vAlign w:val="bottom"/>
            <w:hideMark/>
          </w:tcPr>
          <w:p w14:paraId="7B3109F1"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MP</w:t>
            </w:r>
          </w:p>
        </w:tc>
        <w:tc>
          <w:tcPr>
            <w:tcW w:w="567" w:type="dxa"/>
            <w:tcBorders>
              <w:top w:val="single" w:sz="4" w:space="0" w:color="auto"/>
              <w:left w:val="nil"/>
              <w:bottom w:val="single" w:sz="4" w:space="0" w:color="auto"/>
              <w:right w:val="nil"/>
            </w:tcBorders>
            <w:shd w:val="clear" w:color="auto" w:fill="auto"/>
            <w:noWrap/>
            <w:vAlign w:val="bottom"/>
            <w:hideMark/>
          </w:tcPr>
          <w:p w14:paraId="23575B1D"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AS</w:t>
            </w:r>
          </w:p>
        </w:tc>
        <w:tc>
          <w:tcPr>
            <w:tcW w:w="567" w:type="dxa"/>
            <w:tcBorders>
              <w:top w:val="single" w:sz="4" w:space="0" w:color="auto"/>
              <w:left w:val="nil"/>
              <w:bottom w:val="single" w:sz="4" w:space="0" w:color="auto"/>
              <w:right w:val="nil"/>
            </w:tcBorders>
            <w:shd w:val="clear" w:color="auto" w:fill="auto"/>
            <w:noWrap/>
            <w:vAlign w:val="bottom"/>
            <w:hideMark/>
          </w:tcPr>
          <w:p w14:paraId="694F250D"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B</w:t>
            </w:r>
            <w:r>
              <w:rPr>
                <w:rFonts w:ascii="Times New Roman" w:hAnsi="Times New Roman" w:cs="Times New Roman"/>
                <w:sz w:val="20"/>
                <w:szCs w:val="20"/>
              </w:rPr>
              <w:t>H</w:t>
            </w:r>
          </w:p>
        </w:tc>
        <w:tc>
          <w:tcPr>
            <w:tcW w:w="567" w:type="dxa"/>
            <w:tcBorders>
              <w:top w:val="single" w:sz="4" w:space="0" w:color="auto"/>
              <w:left w:val="nil"/>
              <w:bottom w:val="single" w:sz="4" w:space="0" w:color="auto"/>
              <w:right w:val="nil"/>
            </w:tcBorders>
            <w:shd w:val="clear" w:color="auto" w:fill="auto"/>
            <w:noWrap/>
            <w:vAlign w:val="bottom"/>
            <w:hideMark/>
          </w:tcPr>
          <w:p w14:paraId="1C4D426F"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CG</w:t>
            </w:r>
          </w:p>
        </w:tc>
        <w:tc>
          <w:tcPr>
            <w:tcW w:w="567" w:type="dxa"/>
            <w:tcBorders>
              <w:top w:val="single" w:sz="4" w:space="0" w:color="auto"/>
              <w:left w:val="nil"/>
              <w:bottom w:val="single" w:sz="4" w:space="0" w:color="auto"/>
              <w:right w:val="nil"/>
            </w:tcBorders>
            <w:shd w:val="clear" w:color="auto" w:fill="auto"/>
            <w:noWrap/>
            <w:vAlign w:val="bottom"/>
            <w:hideMark/>
          </w:tcPr>
          <w:p w14:paraId="5AFA6694"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JH</w:t>
            </w:r>
          </w:p>
        </w:tc>
        <w:tc>
          <w:tcPr>
            <w:tcW w:w="567" w:type="dxa"/>
            <w:tcBorders>
              <w:top w:val="single" w:sz="4" w:space="0" w:color="auto"/>
              <w:left w:val="nil"/>
              <w:bottom w:val="single" w:sz="4" w:space="0" w:color="auto"/>
              <w:right w:val="nil"/>
            </w:tcBorders>
            <w:shd w:val="clear" w:color="auto" w:fill="auto"/>
            <w:noWrap/>
            <w:vAlign w:val="bottom"/>
            <w:hideMark/>
          </w:tcPr>
          <w:p w14:paraId="533E15D4"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O</w:t>
            </w:r>
            <w:r>
              <w:rPr>
                <w:rFonts w:ascii="Times New Roman" w:hAnsi="Times New Roman" w:cs="Times New Roman"/>
                <w:sz w:val="20"/>
                <w:szCs w:val="20"/>
              </w:rPr>
              <w:t>R</w:t>
            </w:r>
          </w:p>
        </w:tc>
        <w:tc>
          <w:tcPr>
            <w:tcW w:w="567" w:type="dxa"/>
            <w:tcBorders>
              <w:top w:val="single" w:sz="4" w:space="0" w:color="auto"/>
              <w:left w:val="nil"/>
              <w:bottom w:val="single" w:sz="4" w:space="0" w:color="auto"/>
              <w:right w:val="nil"/>
            </w:tcBorders>
            <w:shd w:val="clear" w:color="auto" w:fill="auto"/>
            <w:noWrap/>
            <w:vAlign w:val="bottom"/>
            <w:hideMark/>
          </w:tcPr>
          <w:p w14:paraId="0FD84C99"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R</w:t>
            </w:r>
            <w:r>
              <w:rPr>
                <w:rFonts w:ascii="Times New Roman" w:hAnsi="Times New Roman" w:cs="Times New Roman"/>
                <w:sz w:val="20"/>
                <w:szCs w:val="20"/>
              </w:rPr>
              <w:t>J</w:t>
            </w:r>
          </w:p>
        </w:tc>
        <w:tc>
          <w:tcPr>
            <w:tcW w:w="567" w:type="dxa"/>
            <w:tcBorders>
              <w:top w:val="single" w:sz="4" w:space="0" w:color="auto"/>
              <w:left w:val="nil"/>
              <w:bottom w:val="single" w:sz="4" w:space="0" w:color="auto"/>
              <w:right w:val="nil"/>
            </w:tcBorders>
            <w:shd w:val="clear" w:color="auto" w:fill="auto"/>
            <w:vAlign w:val="bottom"/>
            <w:hideMark/>
          </w:tcPr>
          <w:p w14:paraId="77FF303E"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UP</w:t>
            </w:r>
          </w:p>
        </w:tc>
        <w:tc>
          <w:tcPr>
            <w:tcW w:w="567" w:type="dxa"/>
            <w:tcBorders>
              <w:top w:val="single" w:sz="4" w:space="0" w:color="auto"/>
              <w:left w:val="nil"/>
              <w:bottom w:val="single" w:sz="4" w:space="0" w:color="auto"/>
              <w:right w:val="nil"/>
            </w:tcBorders>
            <w:shd w:val="clear" w:color="auto" w:fill="auto"/>
            <w:vAlign w:val="bottom"/>
            <w:hideMark/>
          </w:tcPr>
          <w:p w14:paraId="13EAB03D"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UK</w:t>
            </w:r>
          </w:p>
        </w:tc>
      </w:tr>
      <w:tr w:rsidR="00AF6774" w:rsidRPr="00580682" w14:paraId="237DAD8D" w14:textId="77777777" w:rsidTr="00973096">
        <w:trPr>
          <w:trHeight w:val="20"/>
        </w:trPr>
        <w:tc>
          <w:tcPr>
            <w:tcW w:w="3256" w:type="dxa"/>
            <w:tcBorders>
              <w:top w:val="single" w:sz="4" w:space="0" w:color="auto"/>
              <w:left w:val="nil"/>
              <w:bottom w:val="nil"/>
              <w:right w:val="nil"/>
            </w:tcBorders>
            <w:shd w:val="clear" w:color="auto" w:fill="auto"/>
            <w:noWrap/>
            <w:vAlign w:val="bottom"/>
            <w:hideMark/>
          </w:tcPr>
          <w:p w14:paraId="69437217" w14:textId="77777777" w:rsidR="00AF6774" w:rsidRPr="00580682" w:rsidRDefault="00AF6774" w:rsidP="00AF6774">
            <w:pPr>
              <w:pStyle w:val="NoSpacing"/>
              <w:rPr>
                <w:rFonts w:ascii="Times New Roman" w:hAnsi="Times New Roman" w:cs="Times New Roman"/>
                <w:sz w:val="20"/>
                <w:szCs w:val="20"/>
              </w:rPr>
            </w:pPr>
            <w:r w:rsidRPr="00580682">
              <w:rPr>
                <w:rFonts w:ascii="Times New Roman" w:hAnsi="Times New Roman" w:cs="Times New Roman"/>
                <w:sz w:val="20"/>
                <w:szCs w:val="20"/>
              </w:rPr>
              <w:t>Age</w:t>
            </w:r>
          </w:p>
        </w:tc>
        <w:tc>
          <w:tcPr>
            <w:tcW w:w="708" w:type="dxa"/>
            <w:tcBorders>
              <w:top w:val="single" w:sz="4" w:space="0" w:color="auto"/>
              <w:left w:val="nil"/>
              <w:bottom w:val="nil"/>
              <w:right w:val="nil"/>
            </w:tcBorders>
            <w:shd w:val="clear" w:color="auto" w:fill="auto"/>
            <w:noWrap/>
            <w:vAlign w:val="bottom"/>
            <w:hideMark/>
          </w:tcPr>
          <w:p w14:paraId="5B7CBEBC"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0.9</w:t>
            </w:r>
          </w:p>
        </w:tc>
        <w:tc>
          <w:tcPr>
            <w:tcW w:w="567" w:type="dxa"/>
            <w:tcBorders>
              <w:top w:val="single" w:sz="4" w:space="0" w:color="auto"/>
              <w:left w:val="nil"/>
              <w:bottom w:val="nil"/>
              <w:right w:val="nil"/>
            </w:tcBorders>
            <w:shd w:val="clear" w:color="auto" w:fill="auto"/>
            <w:noWrap/>
            <w:vAlign w:val="bottom"/>
            <w:hideMark/>
          </w:tcPr>
          <w:p w14:paraId="5BAE1F17"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-0.5</w:t>
            </w:r>
          </w:p>
        </w:tc>
        <w:tc>
          <w:tcPr>
            <w:tcW w:w="567" w:type="dxa"/>
            <w:tcBorders>
              <w:top w:val="single" w:sz="4" w:space="0" w:color="auto"/>
              <w:left w:val="nil"/>
              <w:bottom w:val="nil"/>
              <w:right w:val="nil"/>
            </w:tcBorders>
            <w:shd w:val="clear" w:color="auto" w:fill="auto"/>
            <w:noWrap/>
            <w:vAlign w:val="bottom"/>
            <w:hideMark/>
          </w:tcPr>
          <w:p w14:paraId="41EBABAB"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1.2</w:t>
            </w:r>
          </w:p>
        </w:tc>
        <w:tc>
          <w:tcPr>
            <w:tcW w:w="567" w:type="dxa"/>
            <w:tcBorders>
              <w:top w:val="single" w:sz="4" w:space="0" w:color="auto"/>
              <w:left w:val="nil"/>
              <w:bottom w:val="nil"/>
              <w:right w:val="nil"/>
            </w:tcBorders>
            <w:shd w:val="clear" w:color="auto" w:fill="auto"/>
            <w:noWrap/>
            <w:vAlign w:val="bottom"/>
            <w:hideMark/>
          </w:tcPr>
          <w:p w14:paraId="092591B2"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6.5</w:t>
            </w:r>
          </w:p>
        </w:tc>
        <w:tc>
          <w:tcPr>
            <w:tcW w:w="567" w:type="dxa"/>
            <w:tcBorders>
              <w:top w:val="single" w:sz="4" w:space="0" w:color="auto"/>
              <w:left w:val="nil"/>
              <w:bottom w:val="nil"/>
              <w:right w:val="nil"/>
            </w:tcBorders>
            <w:shd w:val="clear" w:color="auto" w:fill="auto"/>
            <w:noWrap/>
            <w:vAlign w:val="bottom"/>
            <w:hideMark/>
          </w:tcPr>
          <w:p w14:paraId="01531396"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3.5</w:t>
            </w:r>
          </w:p>
        </w:tc>
        <w:tc>
          <w:tcPr>
            <w:tcW w:w="567" w:type="dxa"/>
            <w:tcBorders>
              <w:top w:val="single" w:sz="4" w:space="0" w:color="auto"/>
              <w:left w:val="nil"/>
              <w:bottom w:val="nil"/>
              <w:right w:val="nil"/>
            </w:tcBorders>
            <w:shd w:val="clear" w:color="auto" w:fill="auto"/>
            <w:noWrap/>
            <w:vAlign w:val="bottom"/>
            <w:hideMark/>
          </w:tcPr>
          <w:p w14:paraId="6B2324A0"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1.4</w:t>
            </w:r>
          </w:p>
        </w:tc>
        <w:tc>
          <w:tcPr>
            <w:tcW w:w="567" w:type="dxa"/>
            <w:tcBorders>
              <w:top w:val="single" w:sz="4" w:space="0" w:color="auto"/>
              <w:left w:val="nil"/>
              <w:bottom w:val="nil"/>
              <w:right w:val="nil"/>
            </w:tcBorders>
            <w:shd w:val="clear" w:color="auto" w:fill="auto"/>
            <w:noWrap/>
            <w:vAlign w:val="bottom"/>
            <w:hideMark/>
          </w:tcPr>
          <w:p w14:paraId="3E4104BD"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-0.2</w:t>
            </w:r>
          </w:p>
        </w:tc>
        <w:tc>
          <w:tcPr>
            <w:tcW w:w="567" w:type="dxa"/>
            <w:tcBorders>
              <w:top w:val="single" w:sz="4" w:space="0" w:color="auto"/>
              <w:left w:val="nil"/>
              <w:bottom w:val="nil"/>
              <w:right w:val="nil"/>
            </w:tcBorders>
            <w:shd w:val="clear" w:color="auto" w:fill="auto"/>
            <w:noWrap/>
            <w:vAlign w:val="bottom"/>
            <w:hideMark/>
          </w:tcPr>
          <w:p w14:paraId="5F5F9A5A"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0.3</w:t>
            </w:r>
          </w:p>
        </w:tc>
        <w:tc>
          <w:tcPr>
            <w:tcW w:w="567" w:type="dxa"/>
            <w:tcBorders>
              <w:top w:val="single" w:sz="4" w:space="0" w:color="auto"/>
              <w:left w:val="nil"/>
              <w:bottom w:val="nil"/>
              <w:right w:val="nil"/>
            </w:tcBorders>
            <w:shd w:val="clear" w:color="auto" w:fill="auto"/>
            <w:noWrap/>
            <w:vAlign w:val="bottom"/>
            <w:hideMark/>
          </w:tcPr>
          <w:p w14:paraId="71B16AC6"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2.9</w:t>
            </w:r>
          </w:p>
        </w:tc>
        <w:tc>
          <w:tcPr>
            <w:tcW w:w="567" w:type="dxa"/>
            <w:tcBorders>
              <w:top w:val="single" w:sz="4" w:space="0" w:color="auto"/>
              <w:left w:val="nil"/>
              <w:bottom w:val="nil"/>
              <w:right w:val="nil"/>
            </w:tcBorders>
            <w:shd w:val="clear" w:color="auto" w:fill="auto"/>
            <w:noWrap/>
            <w:vAlign w:val="bottom"/>
            <w:hideMark/>
          </w:tcPr>
          <w:p w14:paraId="3E5A2657"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-2.0</w:t>
            </w:r>
          </w:p>
        </w:tc>
      </w:tr>
      <w:tr w:rsidR="00AF6774" w:rsidRPr="00580682" w14:paraId="24E8BDED" w14:textId="77777777" w:rsidTr="00AF6774">
        <w:trPr>
          <w:trHeight w:val="20"/>
        </w:trPr>
        <w:tc>
          <w:tcPr>
            <w:tcW w:w="3256" w:type="dxa"/>
            <w:tcBorders>
              <w:top w:val="nil"/>
              <w:left w:val="nil"/>
              <w:bottom w:val="nil"/>
              <w:right w:val="nil"/>
            </w:tcBorders>
            <w:shd w:val="clear" w:color="auto" w:fill="auto"/>
            <w:noWrap/>
            <w:vAlign w:val="bottom"/>
            <w:hideMark/>
          </w:tcPr>
          <w:p w14:paraId="2777BAD0" w14:textId="1E80B894" w:rsidR="00AF6774" w:rsidRPr="00580682" w:rsidRDefault="00AF6774" w:rsidP="00F223FF">
            <w:pPr>
              <w:pStyle w:val="NoSpacing"/>
              <w:rPr>
                <w:rFonts w:ascii="Times New Roman" w:hAnsi="Times New Roman" w:cs="Times New Roman"/>
                <w:sz w:val="20"/>
                <w:szCs w:val="20"/>
              </w:rPr>
            </w:pPr>
            <w:r w:rsidRPr="00580682">
              <w:rPr>
                <w:rFonts w:ascii="Times New Roman" w:hAnsi="Times New Roman" w:cs="Times New Roman"/>
                <w:sz w:val="20"/>
                <w:szCs w:val="20"/>
              </w:rPr>
              <w:t xml:space="preserve">Years </w:t>
            </w:r>
            <w:r w:rsidR="00F223FF">
              <w:rPr>
                <w:rFonts w:ascii="Times New Roman" w:hAnsi="Times New Roman" w:cs="Times New Roman"/>
                <w:sz w:val="20"/>
                <w:szCs w:val="20"/>
              </w:rPr>
              <w:t>of s</w:t>
            </w:r>
            <w:r w:rsidRPr="00580682">
              <w:rPr>
                <w:rFonts w:ascii="Times New Roman" w:hAnsi="Times New Roman" w:cs="Times New Roman"/>
                <w:sz w:val="20"/>
                <w:szCs w:val="20"/>
              </w:rPr>
              <w:t>chooling</w:t>
            </w:r>
          </w:p>
        </w:tc>
        <w:tc>
          <w:tcPr>
            <w:tcW w:w="708" w:type="dxa"/>
            <w:tcBorders>
              <w:top w:val="nil"/>
              <w:left w:val="nil"/>
              <w:bottom w:val="nil"/>
              <w:right w:val="nil"/>
            </w:tcBorders>
            <w:shd w:val="clear" w:color="auto" w:fill="auto"/>
            <w:noWrap/>
            <w:vAlign w:val="bottom"/>
            <w:hideMark/>
          </w:tcPr>
          <w:p w14:paraId="37468711"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26.9</w:t>
            </w:r>
          </w:p>
        </w:tc>
        <w:tc>
          <w:tcPr>
            <w:tcW w:w="567" w:type="dxa"/>
            <w:tcBorders>
              <w:top w:val="nil"/>
              <w:left w:val="nil"/>
              <w:bottom w:val="nil"/>
              <w:right w:val="nil"/>
            </w:tcBorders>
            <w:shd w:val="clear" w:color="auto" w:fill="auto"/>
            <w:noWrap/>
            <w:vAlign w:val="bottom"/>
            <w:hideMark/>
          </w:tcPr>
          <w:p w14:paraId="27B87849"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42.2</w:t>
            </w:r>
          </w:p>
        </w:tc>
        <w:tc>
          <w:tcPr>
            <w:tcW w:w="567" w:type="dxa"/>
            <w:tcBorders>
              <w:top w:val="nil"/>
              <w:left w:val="nil"/>
              <w:bottom w:val="nil"/>
              <w:right w:val="nil"/>
            </w:tcBorders>
            <w:shd w:val="clear" w:color="auto" w:fill="auto"/>
            <w:noWrap/>
            <w:vAlign w:val="bottom"/>
            <w:hideMark/>
          </w:tcPr>
          <w:p w14:paraId="6AEB4B94"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10.0</w:t>
            </w:r>
          </w:p>
        </w:tc>
        <w:tc>
          <w:tcPr>
            <w:tcW w:w="567" w:type="dxa"/>
            <w:tcBorders>
              <w:top w:val="nil"/>
              <w:left w:val="nil"/>
              <w:bottom w:val="nil"/>
              <w:right w:val="nil"/>
            </w:tcBorders>
            <w:shd w:val="clear" w:color="auto" w:fill="auto"/>
            <w:noWrap/>
            <w:vAlign w:val="bottom"/>
            <w:hideMark/>
          </w:tcPr>
          <w:p w14:paraId="5FBF5C68"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24.4</w:t>
            </w:r>
          </w:p>
        </w:tc>
        <w:tc>
          <w:tcPr>
            <w:tcW w:w="567" w:type="dxa"/>
            <w:tcBorders>
              <w:top w:val="nil"/>
              <w:left w:val="nil"/>
              <w:bottom w:val="nil"/>
              <w:right w:val="nil"/>
            </w:tcBorders>
            <w:shd w:val="clear" w:color="auto" w:fill="auto"/>
            <w:noWrap/>
            <w:vAlign w:val="bottom"/>
            <w:hideMark/>
          </w:tcPr>
          <w:p w14:paraId="4B48F47F"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15.4</w:t>
            </w:r>
          </w:p>
        </w:tc>
        <w:tc>
          <w:tcPr>
            <w:tcW w:w="567" w:type="dxa"/>
            <w:tcBorders>
              <w:top w:val="nil"/>
              <w:left w:val="nil"/>
              <w:bottom w:val="nil"/>
              <w:right w:val="nil"/>
            </w:tcBorders>
            <w:shd w:val="clear" w:color="auto" w:fill="auto"/>
            <w:noWrap/>
            <w:vAlign w:val="bottom"/>
            <w:hideMark/>
          </w:tcPr>
          <w:p w14:paraId="48D8897F"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22.7</w:t>
            </w:r>
          </w:p>
        </w:tc>
        <w:tc>
          <w:tcPr>
            <w:tcW w:w="567" w:type="dxa"/>
            <w:tcBorders>
              <w:top w:val="nil"/>
              <w:left w:val="nil"/>
              <w:bottom w:val="nil"/>
              <w:right w:val="nil"/>
            </w:tcBorders>
            <w:shd w:val="clear" w:color="auto" w:fill="auto"/>
            <w:noWrap/>
            <w:vAlign w:val="bottom"/>
            <w:hideMark/>
          </w:tcPr>
          <w:p w14:paraId="361FB36A"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23.8</w:t>
            </w:r>
          </w:p>
        </w:tc>
        <w:tc>
          <w:tcPr>
            <w:tcW w:w="567" w:type="dxa"/>
            <w:tcBorders>
              <w:top w:val="nil"/>
              <w:left w:val="nil"/>
              <w:bottom w:val="nil"/>
              <w:right w:val="nil"/>
            </w:tcBorders>
            <w:shd w:val="clear" w:color="auto" w:fill="auto"/>
            <w:noWrap/>
            <w:vAlign w:val="bottom"/>
            <w:hideMark/>
          </w:tcPr>
          <w:p w14:paraId="7932C105"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35.4</w:t>
            </w:r>
          </w:p>
        </w:tc>
        <w:tc>
          <w:tcPr>
            <w:tcW w:w="567" w:type="dxa"/>
            <w:tcBorders>
              <w:top w:val="nil"/>
              <w:left w:val="nil"/>
              <w:bottom w:val="nil"/>
              <w:right w:val="nil"/>
            </w:tcBorders>
            <w:shd w:val="clear" w:color="auto" w:fill="auto"/>
            <w:noWrap/>
            <w:vAlign w:val="bottom"/>
            <w:hideMark/>
          </w:tcPr>
          <w:p w14:paraId="2B23E304"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25.2</w:t>
            </w:r>
          </w:p>
        </w:tc>
        <w:tc>
          <w:tcPr>
            <w:tcW w:w="567" w:type="dxa"/>
            <w:tcBorders>
              <w:top w:val="nil"/>
              <w:left w:val="nil"/>
              <w:bottom w:val="nil"/>
              <w:right w:val="nil"/>
            </w:tcBorders>
            <w:shd w:val="clear" w:color="auto" w:fill="auto"/>
            <w:noWrap/>
            <w:vAlign w:val="bottom"/>
            <w:hideMark/>
          </w:tcPr>
          <w:p w14:paraId="1AC8D038"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37.5</w:t>
            </w:r>
          </w:p>
        </w:tc>
      </w:tr>
      <w:tr w:rsidR="00AF6774" w:rsidRPr="00580682" w14:paraId="6573C1AC" w14:textId="77777777" w:rsidTr="00AF6774">
        <w:trPr>
          <w:trHeight w:val="20"/>
        </w:trPr>
        <w:tc>
          <w:tcPr>
            <w:tcW w:w="3256" w:type="dxa"/>
            <w:tcBorders>
              <w:top w:val="nil"/>
              <w:left w:val="nil"/>
              <w:bottom w:val="nil"/>
              <w:right w:val="nil"/>
            </w:tcBorders>
            <w:shd w:val="clear" w:color="auto" w:fill="auto"/>
            <w:noWrap/>
            <w:vAlign w:val="bottom"/>
            <w:hideMark/>
          </w:tcPr>
          <w:p w14:paraId="0FCAEED0" w14:textId="77777777" w:rsidR="00AF6774" w:rsidRPr="00580682" w:rsidRDefault="00AF6774" w:rsidP="00AF6774">
            <w:pPr>
              <w:pStyle w:val="NoSpacing"/>
              <w:rPr>
                <w:rFonts w:ascii="Times New Roman" w:hAnsi="Times New Roman" w:cs="Times New Roman"/>
                <w:sz w:val="20"/>
                <w:szCs w:val="20"/>
              </w:rPr>
            </w:pPr>
            <w:r w:rsidRPr="00580682">
              <w:rPr>
                <w:rFonts w:ascii="Times New Roman" w:hAnsi="Times New Roman" w:cs="Times New Roman"/>
                <w:sz w:val="20"/>
                <w:szCs w:val="20"/>
              </w:rPr>
              <w:t>Poor economic status</w:t>
            </w:r>
          </w:p>
        </w:tc>
        <w:tc>
          <w:tcPr>
            <w:tcW w:w="708" w:type="dxa"/>
            <w:tcBorders>
              <w:top w:val="nil"/>
              <w:left w:val="nil"/>
              <w:bottom w:val="nil"/>
              <w:right w:val="nil"/>
            </w:tcBorders>
            <w:shd w:val="clear" w:color="auto" w:fill="auto"/>
            <w:noWrap/>
            <w:vAlign w:val="bottom"/>
            <w:hideMark/>
          </w:tcPr>
          <w:p w14:paraId="77386080"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5.2</w:t>
            </w:r>
          </w:p>
        </w:tc>
        <w:tc>
          <w:tcPr>
            <w:tcW w:w="567" w:type="dxa"/>
            <w:tcBorders>
              <w:top w:val="nil"/>
              <w:left w:val="nil"/>
              <w:bottom w:val="nil"/>
              <w:right w:val="nil"/>
            </w:tcBorders>
            <w:shd w:val="clear" w:color="auto" w:fill="auto"/>
            <w:noWrap/>
            <w:vAlign w:val="bottom"/>
            <w:hideMark/>
          </w:tcPr>
          <w:p w14:paraId="48DAFE85"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2.0</w:t>
            </w:r>
          </w:p>
        </w:tc>
        <w:tc>
          <w:tcPr>
            <w:tcW w:w="567" w:type="dxa"/>
            <w:tcBorders>
              <w:top w:val="nil"/>
              <w:left w:val="nil"/>
              <w:bottom w:val="nil"/>
              <w:right w:val="nil"/>
            </w:tcBorders>
            <w:shd w:val="clear" w:color="auto" w:fill="auto"/>
            <w:noWrap/>
            <w:vAlign w:val="bottom"/>
            <w:hideMark/>
          </w:tcPr>
          <w:p w14:paraId="1462FD13"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21.7</w:t>
            </w:r>
          </w:p>
        </w:tc>
        <w:tc>
          <w:tcPr>
            <w:tcW w:w="567" w:type="dxa"/>
            <w:tcBorders>
              <w:top w:val="nil"/>
              <w:left w:val="nil"/>
              <w:bottom w:val="nil"/>
              <w:right w:val="nil"/>
            </w:tcBorders>
            <w:shd w:val="clear" w:color="auto" w:fill="auto"/>
            <w:noWrap/>
            <w:vAlign w:val="bottom"/>
            <w:hideMark/>
          </w:tcPr>
          <w:p w14:paraId="349383B1"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9.2</w:t>
            </w:r>
          </w:p>
        </w:tc>
        <w:tc>
          <w:tcPr>
            <w:tcW w:w="567" w:type="dxa"/>
            <w:tcBorders>
              <w:top w:val="nil"/>
              <w:left w:val="nil"/>
              <w:bottom w:val="nil"/>
              <w:right w:val="nil"/>
            </w:tcBorders>
            <w:shd w:val="clear" w:color="auto" w:fill="auto"/>
            <w:noWrap/>
            <w:vAlign w:val="bottom"/>
            <w:hideMark/>
          </w:tcPr>
          <w:p w14:paraId="1A2FE336"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-0.7</w:t>
            </w:r>
          </w:p>
        </w:tc>
        <w:tc>
          <w:tcPr>
            <w:tcW w:w="567" w:type="dxa"/>
            <w:tcBorders>
              <w:top w:val="nil"/>
              <w:left w:val="nil"/>
              <w:bottom w:val="nil"/>
              <w:right w:val="nil"/>
            </w:tcBorders>
            <w:shd w:val="clear" w:color="auto" w:fill="auto"/>
            <w:noWrap/>
            <w:vAlign w:val="bottom"/>
            <w:hideMark/>
          </w:tcPr>
          <w:p w14:paraId="3A2C5427"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10.3</w:t>
            </w:r>
          </w:p>
        </w:tc>
        <w:tc>
          <w:tcPr>
            <w:tcW w:w="567" w:type="dxa"/>
            <w:tcBorders>
              <w:top w:val="nil"/>
              <w:left w:val="nil"/>
              <w:bottom w:val="nil"/>
              <w:right w:val="nil"/>
            </w:tcBorders>
            <w:shd w:val="clear" w:color="auto" w:fill="auto"/>
            <w:noWrap/>
            <w:vAlign w:val="bottom"/>
            <w:hideMark/>
          </w:tcPr>
          <w:p w14:paraId="51A52539"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12.4</w:t>
            </w:r>
          </w:p>
        </w:tc>
        <w:tc>
          <w:tcPr>
            <w:tcW w:w="567" w:type="dxa"/>
            <w:tcBorders>
              <w:top w:val="nil"/>
              <w:left w:val="nil"/>
              <w:bottom w:val="nil"/>
              <w:right w:val="nil"/>
            </w:tcBorders>
            <w:shd w:val="clear" w:color="auto" w:fill="auto"/>
            <w:noWrap/>
            <w:vAlign w:val="bottom"/>
            <w:hideMark/>
          </w:tcPr>
          <w:p w14:paraId="4791D95E"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2.4</w:t>
            </w:r>
          </w:p>
        </w:tc>
        <w:tc>
          <w:tcPr>
            <w:tcW w:w="567" w:type="dxa"/>
            <w:tcBorders>
              <w:top w:val="nil"/>
              <w:left w:val="nil"/>
              <w:bottom w:val="nil"/>
              <w:right w:val="nil"/>
            </w:tcBorders>
            <w:shd w:val="clear" w:color="auto" w:fill="auto"/>
            <w:noWrap/>
            <w:vAlign w:val="bottom"/>
            <w:hideMark/>
          </w:tcPr>
          <w:p w14:paraId="414CC6F0"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1.2</w:t>
            </w:r>
          </w:p>
        </w:tc>
        <w:tc>
          <w:tcPr>
            <w:tcW w:w="567" w:type="dxa"/>
            <w:tcBorders>
              <w:top w:val="nil"/>
              <w:left w:val="nil"/>
              <w:bottom w:val="nil"/>
              <w:right w:val="nil"/>
            </w:tcBorders>
            <w:shd w:val="clear" w:color="auto" w:fill="auto"/>
            <w:noWrap/>
            <w:vAlign w:val="bottom"/>
            <w:hideMark/>
          </w:tcPr>
          <w:p w14:paraId="3978AC38"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1.8</w:t>
            </w:r>
          </w:p>
        </w:tc>
      </w:tr>
      <w:tr w:rsidR="00AF6774" w:rsidRPr="00580682" w14:paraId="3F609ADB" w14:textId="77777777" w:rsidTr="00AF6774">
        <w:trPr>
          <w:trHeight w:val="20"/>
        </w:trPr>
        <w:tc>
          <w:tcPr>
            <w:tcW w:w="3256" w:type="dxa"/>
            <w:tcBorders>
              <w:top w:val="nil"/>
              <w:left w:val="nil"/>
              <w:bottom w:val="nil"/>
              <w:right w:val="nil"/>
            </w:tcBorders>
            <w:shd w:val="clear" w:color="auto" w:fill="auto"/>
            <w:noWrap/>
            <w:vAlign w:val="bottom"/>
            <w:hideMark/>
          </w:tcPr>
          <w:p w14:paraId="24D9E1D1" w14:textId="197580DA" w:rsidR="00AF6774" w:rsidRPr="00580682" w:rsidRDefault="00AF6774" w:rsidP="00F223FF">
            <w:pPr>
              <w:pStyle w:val="NoSpacing"/>
              <w:rPr>
                <w:rFonts w:ascii="Times New Roman" w:hAnsi="Times New Roman" w:cs="Times New Roman"/>
                <w:sz w:val="20"/>
                <w:szCs w:val="20"/>
              </w:rPr>
            </w:pPr>
            <w:r w:rsidRPr="00580682">
              <w:rPr>
                <w:rFonts w:ascii="Times New Roman" w:hAnsi="Times New Roman" w:cs="Times New Roman"/>
                <w:sz w:val="20"/>
                <w:szCs w:val="20"/>
              </w:rPr>
              <w:t xml:space="preserve">Belonging to Muslim </w:t>
            </w:r>
            <w:r w:rsidR="00F223FF">
              <w:rPr>
                <w:rFonts w:ascii="Times New Roman" w:hAnsi="Times New Roman" w:cs="Times New Roman"/>
                <w:sz w:val="20"/>
                <w:szCs w:val="20"/>
              </w:rPr>
              <w:t>r</w:t>
            </w:r>
            <w:r w:rsidRPr="00580682">
              <w:rPr>
                <w:rFonts w:ascii="Times New Roman" w:hAnsi="Times New Roman" w:cs="Times New Roman"/>
                <w:sz w:val="20"/>
                <w:szCs w:val="20"/>
              </w:rPr>
              <w:t>eligion</w:t>
            </w:r>
          </w:p>
        </w:tc>
        <w:tc>
          <w:tcPr>
            <w:tcW w:w="708" w:type="dxa"/>
            <w:tcBorders>
              <w:top w:val="nil"/>
              <w:left w:val="nil"/>
              <w:bottom w:val="nil"/>
              <w:right w:val="nil"/>
            </w:tcBorders>
            <w:shd w:val="clear" w:color="auto" w:fill="auto"/>
            <w:noWrap/>
            <w:vAlign w:val="bottom"/>
            <w:hideMark/>
          </w:tcPr>
          <w:p w14:paraId="55B8CBD7"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-0.4</w:t>
            </w:r>
          </w:p>
        </w:tc>
        <w:tc>
          <w:tcPr>
            <w:tcW w:w="567" w:type="dxa"/>
            <w:tcBorders>
              <w:top w:val="nil"/>
              <w:left w:val="nil"/>
              <w:bottom w:val="nil"/>
              <w:right w:val="nil"/>
            </w:tcBorders>
            <w:shd w:val="clear" w:color="auto" w:fill="auto"/>
            <w:noWrap/>
            <w:vAlign w:val="bottom"/>
            <w:hideMark/>
          </w:tcPr>
          <w:p w14:paraId="2D70EACC"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-0.4</w:t>
            </w:r>
          </w:p>
        </w:tc>
        <w:tc>
          <w:tcPr>
            <w:tcW w:w="567" w:type="dxa"/>
            <w:tcBorders>
              <w:top w:val="nil"/>
              <w:left w:val="nil"/>
              <w:bottom w:val="nil"/>
              <w:right w:val="nil"/>
            </w:tcBorders>
            <w:shd w:val="clear" w:color="auto" w:fill="auto"/>
            <w:noWrap/>
            <w:vAlign w:val="bottom"/>
            <w:hideMark/>
          </w:tcPr>
          <w:p w14:paraId="5FEC58F8"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2.3</w:t>
            </w:r>
          </w:p>
        </w:tc>
        <w:tc>
          <w:tcPr>
            <w:tcW w:w="567" w:type="dxa"/>
            <w:tcBorders>
              <w:top w:val="nil"/>
              <w:left w:val="nil"/>
              <w:bottom w:val="nil"/>
              <w:right w:val="nil"/>
            </w:tcBorders>
            <w:shd w:val="clear" w:color="auto" w:fill="auto"/>
            <w:noWrap/>
            <w:vAlign w:val="bottom"/>
            <w:hideMark/>
          </w:tcPr>
          <w:p w14:paraId="091DF92A"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0.7</w:t>
            </w:r>
          </w:p>
        </w:tc>
        <w:tc>
          <w:tcPr>
            <w:tcW w:w="567" w:type="dxa"/>
            <w:tcBorders>
              <w:top w:val="nil"/>
              <w:left w:val="nil"/>
              <w:bottom w:val="nil"/>
              <w:right w:val="nil"/>
            </w:tcBorders>
            <w:shd w:val="clear" w:color="auto" w:fill="auto"/>
            <w:noWrap/>
            <w:vAlign w:val="bottom"/>
            <w:hideMark/>
          </w:tcPr>
          <w:p w14:paraId="5DEC7648"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0.6</w:t>
            </w:r>
          </w:p>
        </w:tc>
        <w:tc>
          <w:tcPr>
            <w:tcW w:w="567" w:type="dxa"/>
            <w:tcBorders>
              <w:top w:val="nil"/>
              <w:left w:val="nil"/>
              <w:bottom w:val="nil"/>
              <w:right w:val="nil"/>
            </w:tcBorders>
            <w:shd w:val="clear" w:color="auto" w:fill="auto"/>
            <w:noWrap/>
            <w:vAlign w:val="bottom"/>
            <w:hideMark/>
          </w:tcPr>
          <w:p w14:paraId="53828092"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-1.5</w:t>
            </w:r>
          </w:p>
        </w:tc>
        <w:tc>
          <w:tcPr>
            <w:tcW w:w="567" w:type="dxa"/>
            <w:tcBorders>
              <w:top w:val="nil"/>
              <w:left w:val="nil"/>
              <w:bottom w:val="nil"/>
              <w:right w:val="nil"/>
            </w:tcBorders>
            <w:shd w:val="clear" w:color="auto" w:fill="auto"/>
            <w:noWrap/>
            <w:vAlign w:val="bottom"/>
            <w:hideMark/>
          </w:tcPr>
          <w:p w14:paraId="508B47C4"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-0.4</w:t>
            </w:r>
          </w:p>
        </w:tc>
        <w:tc>
          <w:tcPr>
            <w:tcW w:w="567" w:type="dxa"/>
            <w:tcBorders>
              <w:top w:val="nil"/>
              <w:left w:val="nil"/>
              <w:bottom w:val="nil"/>
              <w:right w:val="nil"/>
            </w:tcBorders>
            <w:shd w:val="clear" w:color="auto" w:fill="auto"/>
            <w:noWrap/>
            <w:vAlign w:val="bottom"/>
            <w:hideMark/>
          </w:tcPr>
          <w:p w14:paraId="0A4D052B"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-0.2</w:t>
            </w:r>
          </w:p>
        </w:tc>
        <w:tc>
          <w:tcPr>
            <w:tcW w:w="567" w:type="dxa"/>
            <w:tcBorders>
              <w:top w:val="nil"/>
              <w:left w:val="nil"/>
              <w:bottom w:val="nil"/>
              <w:right w:val="nil"/>
            </w:tcBorders>
            <w:shd w:val="clear" w:color="auto" w:fill="auto"/>
            <w:noWrap/>
            <w:vAlign w:val="bottom"/>
            <w:hideMark/>
          </w:tcPr>
          <w:p w14:paraId="47CC09BA"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-2.5</w:t>
            </w:r>
          </w:p>
        </w:tc>
        <w:tc>
          <w:tcPr>
            <w:tcW w:w="567" w:type="dxa"/>
            <w:tcBorders>
              <w:top w:val="nil"/>
              <w:left w:val="nil"/>
              <w:bottom w:val="nil"/>
              <w:right w:val="nil"/>
            </w:tcBorders>
            <w:shd w:val="clear" w:color="auto" w:fill="auto"/>
            <w:noWrap/>
            <w:vAlign w:val="bottom"/>
            <w:hideMark/>
          </w:tcPr>
          <w:p w14:paraId="799E0CDE"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-2.1</w:t>
            </w:r>
          </w:p>
        </w:tc>
      </w:tr>
      <w:tr w:rsidR="00AF6774" w:rsidRPr="00580682" w14:paraId="78B01AD0" w14:textId="77777777" w:rsidTr="00AF6774">
        <w:trPr>
          <w:trHeight w:val="20"/>
        </w:trPr>
        <w:tc>
          <w:tcPr>
            <w:tcW w:w="3256" w:type="dxa"/>
            <w:tcBorders>
              <w:top w:val="nil"/>
              <w:left w:val="nil"/>
              <w:bottom w:val="nil"/>
              <w:right w:val="nil"/>
            </w:tcBorders>
            <w:shd w:val="clear" w:color="auto" w:fill="auto"/>
            <w:noWrap/>
            <w:vAlign w:val="bottom"/>
            <w:hideMark/>
          </w:tcPr>
          <w:p w14:paraId="7821A749" w14:textId="1B29EAA2" w:rsidR="00AF6774" w:rsidRPr="00580682" w:rsidRDefault="00AF6774" w:rsidP="00F223FF">
            <w:pPr>
              <w:pStyle w:val="NoSpacing"/>
              <w:rPr>
                <w:rFonts w:ascii="Times New Roman" w:hAnsi="Times New Roman" w:cs="Times New Roman"/>
                <w:sz w:val="20"/>
                <w:szCs w:val="20"/>
              </w:rPr>
            </w:pPr>
            <w:r w:rsidRPr="00580682">
              <w:rPr>
                <w:rFonts w:ascii="Times New Roman" w:hAnsi="Times New Roman" w:cs="Times New Roman"/>
                <w:sz w:val="20"/>
                <w:szCs w:val="20"/>
              </w:rPr>
              <w:t xml:space="preserve">Belonging to SC/ST </w:t>
            </w:r>
            <w:r w:rsidR="00F223FF">
              <w:rPr>
                <w:rFonts w:ascii="Times New Roman" w:hAnsi="Times New Roman" w:cs="Times New Roman"/>
                <w:sz w:val="20"/>
                <w:szCs w:val="20"/>
              </w:rPr>
              <w:t>c</w:t>
            </w:r>
            <w:r w:rsidRPr="00580682">
              <w:rPr>
                <w:rFonts w:ascii="Times New Roman" w:hAnsi="Times New Roman" w:cs="Times New Roman"/>
                <w:sz w:val="20"/>
                <w:szCs w:val="20"/>
              </w:rPr>
              <w:t>aste</w:t>
            </w:r>
          </w:p>
        </w:tc>
        <w:tc>
          <w:tcPr>
            <w:tcW w:w="708" w:type="dxa"/>
            <w:tcBorders>
              <w:top w:val="nil"/>
              <w:left w:val="nil"/>
              <w:bottom w:val="nil"/>
              <w:right w:val="nil"/>
            </w:tcBorders>
            <w:shd w:val="clear" w:color="auto" w:fill="auto"/>
            <w:noWrap/>
            <w:vAlign w:val="bottom"/>
            <w:hideMark/>
          </w:tcPr>
          <w:p w14:paraId="3E1B92A8"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-4.7</w:t>
            </w:r>
          </w:p>
        </w:tc>
        <w:tc>
          <w:tcPr>
            <w:tcW w:w="567" w:type="dxa"/>
            <w:tcBorders>
              <w:top w:val="nil"/>
              <w:left w:val="nil"/>
              <w:bottom w:val="nil"/>
              <w:right w:val="nil"/>
            </w:tcBorders>
            <w:shd w:val="clear" w:color="auto" w:fill="auto"/>
            <w:noWrap/>
            <w:vAlign w:val="bottom"/>
            <w:hideMark/>
          </w:tcPr>
          <w:p w14:paraId="42D609AD"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1.6</w:t>
            </w:r>
          </w:p>
        </w:tc>
        <w:tc>
          <w:tcPr>
            <w:tcW w:w="567" w:type="dxa"/>
            <w:tcBorders>
              <w:top w:val="nil"/>
              <w:left w:val="nil"/>
              <w:bottom w:val="nil"/>
              <w:right w:val="nil"/>
            </w:tcBorders>
            <w:shd w:val="clear" w:color="auto" w:fill="auto"/>
            <w:noWrap/>
            <w:vAlign w:val="bottom"/>
            <w:hideMark/>
          </w:tcPr>
          <w:p w14:paraId="283E191A"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0.0</w:t>
            </w:r>
          </w:p>
        </w:tc>
        <w:tc>
          <w:tcPr>
            <w:tcW w:w="567" w:type="dxa"/>
            <w:tcBorders>
              <w:top w:val="nil"/>
              <w:left w:val="nil"/>
              <w:bottom w:val="nil"/>
              <w:right w:val="nil"/>
            </w:tcBorders>
            <w:shd w:val="clear" w:color="auto" w:fill="auto"/>
            <w:noWrap/>
            <w:vAlign w:val="bottom"/>
            <w:hideMark/>
          </w:tcPr>
          <w:p w14:paraId="7155B975"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-0.7</w:t>
            </w:r>
          </w:p>
        </w:tc>
        <w:tc>
          <w:tcPr>
            <w:tcW w:w="567" w:type="dxa"/>
            <w:tcBorders>
              <w:top w:val="nil"/>
              <w:left w:val="nil"/>
              <w:bottom w:val="nil"/>
              <w:right w:val="nil"/>
            </w:tcBorders>
            <w:shd w:val="clear" w:color="auto" w:fill="auto"/>
            <w:noWrap/>
            <w:vAlign w:val="bottom"/>
            <w:hideMark/>
          </w:tcPr>
          <w:p w14:paraId="00B8B47F"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2.6</w:t>
            </w:r>
          </w:p>
        </w:tc>
        <w:tc>
          <w:tcPr>
            <w:tcW w:w="567" w:type="dxa"/>
            <w:tcBorders>
              <w:top w:val="nil"/>
              <w:left w:val="nil"/>
              <w:bottom w:val="nil"/>
              <w:right w:val="nil"/>
            </w:tcBorders>
            <w:shd w:val="clear" w:color="auto" w:fill="auto"/>
            <w:noWrap/>
            <w:vAlign w:val="bottom"/>
            <w:hideMark/>
          </w:tcPr>
          <w:p w14:paraId="48F10A55"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2.3</w:t>
            </w:r>
          </w:p>
        </w:tc>
        <w:tc>
          <w:tcPr>
            <w:tcW w:w="567" w:type="dxa"/>
            <w:tcBorders>
              <w:top w:val="nil"/>
              <w:left w:val="nil"/>
              <w:bottom w:val="nil"/>
              <w:right w:val="nil"/>
            </w:tcBorders>
            <w:shd w:val="clear" w:color="auto" w:fill="auto"/>
            <w:noWrap/>
            <w:vAlign w:val="bottom"/>
            <w:hideMark/>
          </w:tcPr>
          <w:p w14:paraId="6226406F"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3.3</w:t>
            </w:r>
          </w:p>
        </w:tc>
        <w:tc>
          <w:tcPr>
            <w:tcW w:w="567" w:type="dxa"/>
            <w:tcBorders>
              <w:top w:val="nil"/>
              <w:left w:val="nil"/>
              <w:bottom w:val="nil"/>
              <w:right w:val="nil"/>
            </w:tcBorders>
            <w:shd w:val="clear" w:color="auto" w:fill="auto"/>
            <w:noWrap/>
            <w:vAlign w:val="bottom"/>
            <w:hideMark/>
          </w:tcPr>
          <w:p w14:paraId="7082DAA8"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2.0</w:t>
            </w:r>
          </w:p>
        </w:tc>
        <w:tc>
          <w:tcPr>
            <w:tcW w:w="567" w:type="dxa"/>
            <w:tcBorders>
              <w:top w:val="nil"/>
              <w:left w:val="nil"/>
              <w:bottom w:val="nil"/>
              <w:right w:val="nil"/>
            </w:tcBorders>
            <w:shd w:val="clear" w:color="auto" w:fill="auto"/>
            <w:noWrap/>
            <w:vAlign w:val="bottom"/>
            <w:hideMark/>
          </w:tcPr>
          <w:p w14:paraId="670B544B"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1.8</w:t>
            </w:r>
          </w:p>
        </w:tc>
        <w:tc>
          <w:tcPr>
            <w:tcW w:w="567" w:type="dxa"/>
            <w:tcBorders>
              <w:top w:val="nil"/>
              <w:left w:val="nil"/>
              <w:bottom w:val="nil"/>
              <w:right w:val="nil"/>
            </w:tcBorders>
            <w:shd w:val="clear" w:color="auto" w:fill="auto"/>
            <w:noWrap/>
            <w:vAlign w:val="bottom"/>
            <w:hideMark/>
          </w:tcPr>
          <w:p w14:paraId="38ADA56D"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1.3</w:t>
            </w:r>
          </w:p>
        </w:tc>
      </w:tr>
      <w:tr w:rsidR="00AF6774" w:rsidRPr="00580682" w14:paraId="41BEF47C" w14:textId="77777777" w:rsidTr="00AF6774">
        <w:trPr>
          <w:trHeight w:val="20"/>
        </w:trPr>
        <w:tc>
          <w:tcPr>
            <w:tcW w:w="3256" w:type="dxa"/>
            <w:tcBorders>
              <w:top w:val="nil"/>
              <w:left w:val="nil"/>
              <w:bottom w:val="nil"/>
              <w:right w:val="nil"/>
            </w:tcBorders>
            <w:shd w:val="clear" w:color="auto" w:fill="auto"/>
            <w:noWrap/>
            <w:vAlign w:val="bottom"/>
            <w:hideMark/>
          </w:tcPr>
          <w:p w14:paraId="1701A410" w14:textId="3FA3225C" w:rsidR="00AF6774" w:rsidRPr="00580682" w:rsidRDefault="00AF6774" w:rsidP="00F223FF">
            <w:pPr>
              <w:pStyle w:val="NoSpacing"/>
              <w:rPr>
                <w:rFonts w:ascii="Times New Roman" w:hAnsi="Times New Roman" w:cs="Times New Roman"/>
                <w:sz w:val="20"/>
                <w:szCs w:val="20"/>
              </w:rPr>
            </w:pPr>
            <w:r w:rsidRPr="00580682">
              <w:rPr>
                <w:rFonts w:ascii="Times New Roman" w:hAnsi="Times New Roman" w:cs="Times New Roman"/>
                <w:sz w:val="20"/>
                <w:szCs w:val="20"/>
              </w:rPr>
              <w:t xml:space="preserve">Belonging to </w:t>
            </w:r>
            <w:r w:rsidR="00F223FF">
              <w:rPr>
                <w:rFonts w:ascii="Times New Roman" w:hAnsi="Times New Roman" w:cs="Times New Roman"/>
                <w:sz w:val="20"/>
                <w:szCs w:val="20"/>
              </w:rPr>
              <w:t>r</w:t>
            </w:r>
            <w:r w:rsidRPr="00580682">
              <w:rPr>
                <w:rFonts w:ascii="Times New Roman" w:hAnsi="Times New Roman" w:cs="Times New Roman"/>
                <w:sz w:val="20"/>
                <w:szCs w:val="20"/>
              </w:rPr>
              <w:t xml:space="preserve">ural </w:t>
            </w:r>
            <w:r w:rsidR="00F223FF">
              <w:rPr>
                <w:rFonts w:ascii="Times New Roman" w:hAnsi="Times New Roman" w:cs="Times New Roman"/>
                <w:sz w:val="20"/>
                <w:szCs w:val="20"/>
              </w:rPr>
              <w:t>a</w:t>
            </w:r>
            <w:r w:rsidRPr="00580682">
              <w:rPr>
                <w:rFonts w:ascii="Times New Roman" w:hAnsi="Times New Roman" w:cs="Times New Roman"/>
                <w:sz w:val="20"/>
                <w:szCs w:val="20"/>
              </w:rPr>
              <w:t>reas</w:t>
            </w:r>
          </w:p>
        </w:tc>
        <w:tc>
          <w:tcPr>
            <w:tcW w:w="708" w:type="dxa"/>
            <w:tcBorders>
              <w:top w:val="nil"/>
              <w:left w:val="nil"/>
              <w:bottom w:val="nil"/>
              <w:right w:val="nil"/>
            </w:tcBorders>
            <w:shd w:val="clear" w:color="auto" w:fill="auto"/>
            <w:noWrap/>
            <w:vAlign w:val="bottom"/>
            <w:hideMark/>
          </w:tcPr>
          <w:p w14:paraId="34FFAF16"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19.7</w:t>
            </w:r>
          </w:p>
        </w:tc>
        <w:tc>
          <w:tcPr>
            <w:tcW w:w="567" w:type="dxa"/>
            <w:tcBorders>
              <w:top w:val="nil"/>
              <w:left w:val="nil"/>
              <w:bottom w:val="nil"/>
              <w:right w:val="nil"/>
            </w:tcBorders>
            <w:shd w:val="clear" w:color="auto" w:fill="auto"/>
            <w:noWrap/>
            <w:vAlign w:val="bottom"/>
            <w:hideMark/>
          </w:tcPr>
          <w:p w14:paraId="4FECBE73"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15.4</w:t>
            </w:r>
          </w:p>
        </w:tc>
        <w:tc>
          <w:tcPr>
            <w:tcW w:w="567" w:type="dxa"/>
            <w:tcBorders>
              <w:top w:val="nil"/>
              <w:left w:val="nil"/>
              <w:bottom w:val="nil"/>
              <w:right w:val="nil"/>
            </w:tcBorders>
            <w:shd w:val="clear" w:color="auto" w:fill="auto"/>
            <w:noWrap/>
            <w:vAlign w:val="bottom"/>
            <w:hideMark/>
          </w:tcPr>
          <w:p w14:paraId="48532B5A"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46.5</w:t>
            </w:r>
          </w:p>
        </w:tc>
        <w:tc>
          <w:tcPr>
            <w:tcW w:w="567" w:type="dxa"/>
            <w:tcBorders>
              <w:top w:val="nil"/>
              <w:left w:val="nil"/>
              <w:bottom w:val="nil"/>
              <w:right w:val="nil"/>
            </w:tcBorders>
            <w:shd w:val="clear" w:color="auto" w:fill="auto"/>
            <w:noWrap/>
            <w:vAlign w:val="bottom"/>
            <w:hideMark/>
          </w:tcPr>
          <w:p w14:paraId="39B2F2EA"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24.9</w:t>
            </w:r>
          </w:p>
        </w:tc>
        <w:tc>
          <w:tcPr>
            <w:tcW w:w="567" w:type="dxa"/>
            <w:tcBorders>
              <w:top w:val="nil"/>
              <w:left w:val="nil"/>
              <w:bottom w:val="nil"/>
              <w:right w:val="nil"/>
            </w:tcBorders>
            <w:shd w:val="clear" w:color="auto" w:fill="auto"/>
            <w:noWrap/>
            <w:vAlign w:val="bottom"/>
            <w:hideMark/>
          </w:tcPr>
          <w:p w14:paraId="211DBEF8"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27.0</w:t>
            </w:r>
          </w:p>
        </w:tc>
        <w:tc>
          <w:tcPr>
            <w:tcW w:w="567" w:type="dxa"/>
            <w:tcBorders>
              <w:top w:val="nil"/>
              <w:left w:val="nil"/>
              <w:bottom w:val="nil"/>
              <w:right w:val="nil"/>
            </w:tcBorders>
            <w:shd w:val="clear" w:color="auto" w:fill="auto"/>
            <w:noWrap/>
            <w:vAlign w:val="bottom"/>
            <w:hideMark/>
          </w:tcPr>
          <w:p w14:paraId="0D340045"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28.7</w:t>
            </w:r>
          </w:p>
        </w:tc>
        <w:tc>
          <w:tcPr>
            <w:tcW w:w="567" w:type="dxa"/>
            <w:tcBorders>
              <w:top w:val="nil"/>
              <w:left w:val="nil"/>
              <w:bottom w:val="nil"/>
              <w:right w:val="nil"/>
            </w:tcBorders>
            <w:shd w:val="clear" w:color="auto" w:fill="auto"/>
            <w:noWrap/>
            <w:vAlign w:val="bottom"/>
            <w:hideMark/>
          </w:tcPr>
          <w:p w14:paraId="1EFB182E"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14.1</w:t>
            </w:r>
          </w:p>
        </w:tc>
        <w:tc>
          <w:tcPr>
            <w:tcW w:w="567" w:type="dxa"/>
            <w:tcBorders>
              <w:top w:val="nil"/>
              <w:left w:val="nil"/>
              <w:bottom w:val="nil"/>
              <w:right w:val="nil"/>
            </w:tcBorders>
            <w:shd w:val="clear" w:color="auto" w:fill="auto"/>
            <w:noWrap/>
            <w:vAlign w:val="bottom"/>
            <w:hideMark/>
          </w:tcPr>
          <w:p w14:paraId="21DB70A2"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28.1</w:t>
            </w:r>
          </w:p>
        </w:tc>
        <w:tc>
          <w:tcPr>
            <w:tcW w:w="567" w:type="dxa"/>
            <w:tcBorders>
              <w:top w:val="nil"/>
              <w:left w:val="nil"/>
              <w:bottom w:val="nil"/>
              <w:right w:val="nil"/>
            </w:tcBorders>
            <w:shd w:val="clear" w:color="auto" w:fill="auto"/>
            <w:noWrap/>
            <w:vAlign w:val="bottom"/>
            <w:hideMark/>
          </w:tcPr>
          <w:p w14:paraId="7A7CBB1C"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19.0</w:t>
            </w:r>
          </w:p>
        </w:tc>
        <w:tc>
          <w:tcPr>
            <w:tcW w:w="567" w:type="dxa"/>
            <w:tcBorders>
              <w:top w:val="nil"/>
              <w:left w:val="nil"/>
              <w:bottom w:val="nil"/>
              <w:right w:val="nil"/>
            </w:tcBorders>
            <w:shd w:val="clear" w:color="auto" w:fill="auto"/>
            <w:noWrap/>
            <w:vAlign w:val="bottom"/>
            <w:hideMark/>
          </w:tcPr>
          <w:p w14:paraId="1E230D39"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32.5</w:t>
            </w:r>
          </w:p>
        </w:tc>
      </w:tr>
      <w:tr w:rsidR="00AF6774" w:rsidRPr="00580682" w14:paraId="2AC54E74" w14:textId="77777777" w:rsidTr="00AF6774">
        <w:trPr>
          <w:trHeight w:val="20"/>
        </w:trPr>
        <w:tc>
          <w:tcPr>
            <w:tcW w:w="3256" w:type="dxa"/>
            <w:tcBorders>
              <w:top w:val="nil"/>
              <w:left w:val="nil"/>
              <w:bottom w:val="nil"/>
              <w:right w:val="nil"/>
            </w:tcBorders>
            <w:shd w:val="clear" w:color="auto" w:fill="auto"/>
            <w:noWrap/>
            <w:vAlign w:val="bottom"/>
            <w:hideMark/>
          </w:tcPr>
          <w:p w14:paraId="55B61C67" w14:textId="77777777" w:rsidR="00AF6774" w:rsidRPr="00580682" w:rsidRDefault="00AF6774" w:rsidP="00AF6774">
            <w:pPr>
              <w:pStyle w:val="NoSpacing"/>
              <w:rPr>
                <w:rFonts w:ascii="Times New Roman" w:hAnsi="Times New Roman" w:cs="Times New Roman"/>
                <w:sz w:val="20"/>
                <w:szCs w:val="20"/>
              </w:rPr>
            </w:pPr>
            <w:r w:rsidRPr="00580682">
              <w:rPr>
                <w:rFonts w:ascii="Times New Roman" w:hAnsi="Times New Roman" w:cs="Times New Roman"/>
                <w:sz w:val="20"/>
                <w:szCs w:val="20"/>
              </w:rPr>
              <w:t>Not worked in last 12 months</w:t>
            </w:r>
          </w:p>
        </w:tc>
        <w:tc>
          <w:tcPr>
            <w:tcW w:w="708" w:type="dxa"/>
            <w:tcBorders>
              <w:top w:val="nil"/>
              <w:left w:val="nil"/>
              <w:bottom w:val="nil"/>
              <w:right w:val="nil"/>
            </w:tcBorders>
            <w:shd w:val="clear" w:color="auto" w:fill="auto"/>
            <w:noWrap/>
            <w:vAlign w:val="bottom"/>
            <w:hideMark/>
          </w:tcPr>
          <w:p w14:paraId="466C6FB6"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0.5</w:t>
            </w:r>
          </w:p>
        </w:tc>
        <w:tc>
          <w:tcPr>
            <w:tcW w:w="567" w:type="dxa"/>
            <w:tcBorders>
              <w:top w:val="nil"/>
              <w:left w:val="nil"/>
              <w:bottom w:val="nil"/>
              <w:right w:val="nil"/>
            </w:tcBorders>
            <w:shd w:val="clear" w:color="auto" w:fill="auto"/>
            <w:noWrap/>
            <w:vAlign w:val="bottom"/>
            <w:hideMark/>
          </w:tcPr>
          <w:p w14:paraId="49068038"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-0.1</w:t>
            </w:r>
          </w:p>
        </w:tc>
        <w:tc>
          <w:tcPr>
            <w:tcW w:w="567" w:type="dxa"/>
            <w:tcBorders>
              <w:top w:val="nil"/>
              <w:left w:val="nil"/>
              <w:bottom w:val="nil"/>
              <w:right w:val="nil"/>
            </w:tcBorders>
            <w:shd w:val="clear" w:color="auto" w:fill="auto"/>
            <w:noWrap/>
            <w:vAlign w:val="bottom"/>
            <w:hideMark/>
          </w:tcPr>
          <w:p w14:paraId="1971BBCA"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0.0</w:t>
            </w:r>
          </w:p>
        </w:tc>
        <w:tc>
          <w:tcPr>
            <w:tcW w:w="567" w:type="dxa"/>
            <w:tcBorders>
              <w:top w:val="nil"/>
              <w:left w:val="nil"/>
              <w:bottom w:val="nil"/>
              <w:right w:val="nil"/>
            </w:tcBorders>
            <w:shd w:val="clear" w:color="auto" w:fill="auto"/>
            <w:noWrap/>
            <w:vAlign w:val="bottom"/>
            <w:hideMark/>
          </w:tcPr>
          <w:p w14:paraId="3B3DE6E3"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-0.1</w:t>
            </w:r>
          </w:p>
        </w:tc>
        <w:tc>
          <w:tcPr>
            <w:tcW w:w="567" w:type="dxa"/>
            <w:tcBorders>
              <w:top w:val="nil"/>
              <w:left w:val="nil"/>
              <w:bottom w:val="nil"/>
              <w:right w:val="nil"/>
            </w:tcBorders>
            <w:shd w:val="clear" w:color="auto" w:fill="auto"/>
            <w:noWrap/>
            <w:vAlign w:val="bottom"/>
            <w:hideMark/>
          </w:tcPr>
          <w:p w14:paraId="50CF5646"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-1.5</w:t>
            </w:r>
          </w:p>
        </w:tc>
        <w:tc>
          <w:tcPr>
            <w:tcW w:w="567" w:type="dxa"/>
            <w:tcBorders>
              <w:top w:val="nil"/>
              <w:left w:val="nil"/>
              <w:bottom w:val="nil"/>
              <w:right w:val="nil"/>
            </w:tcBorders>
            <w:shd w:val="clear" w:color="auto" w:fill="auto"/>
            <w:noWrap/>
            <w:vAlign w:val="bottom"/>
            <w:hideMark/>
          </w:tcPr>
          <w:p w14:paraId="3D2DA408"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0.0</w:t>
            </w:r>
          </w:p>
        </w:tc>
        <w:tc>
          <w:tcPr>
            <w:tcW w:w="567" w:type="dxa"/>
            <w:tcBorders>
              <w:top w:val="nil"/>
              <w:left w:val="nil"/>
              <w:bottom w:val="nil"/>
              <w:right w:val="nil"/>
            </w:tcBorders>
            <w:shd w:val="clear" w:color="auto" w:fill="auto"/>
            <w:noWrap/>
            <w:vAlign w:val="bottom"/>
            <w:hideMark/>
          </w:tcPr>
          <w:p w14:paraId="1AFA9043"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-0.7</w:t>
            </w:r>
          </w:p>
        </w:tc>
        <w:tc>
          <w:tcPr>
            <w:tcW w:w="567" w:type="dxa"/>
            <w:tcBorders>
              <w:top w:val="nil"/>
              <w:left w:val="nil"/>
              <w:bottom w:val="nil"/>
              <w:right w:val="nil"/>
            </w:tcBorders>
            <w:shd w:val="clear" w:color="auto" w:fill="auto"/>
            <w:noWrap/>
            <w:vAlign w:val="bottom"/>
            <w:hideMark/>
          </w:tcPr>
          <w:p w14:paraId="197D2D83"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0.2</w:t>
            </w:r>
          </w:p>
        </w:tc>
        <w:tc>
          <w:tcPr>
            <w:tcW w:w="567" w:type="dxa"/>
            <w:tcBorders>
              <w:top w:val="nil"/>
              <w:left w:val="nil"/>
              <w:bottom w:val="nil"/>
              <w:right w:val="nil"/>
            </w:tcBorders>
            <w:shd w:val="clear" w:color="auto" w:fill="auto"/>
            <w:noWrap/>
            <w:vAlign w:val="bottom"/>
            <w:hideMark/>
          </w:tcPr>
          <w:p w14:paraId="7247C5E4"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0.6</w:t>
            </w:r>
          </w:p>
        </w:tc>
        <w:tc>
          <w:tcPr>
            <w:tcW w:w="567" w:type="dxa"/>
            <w:tcBorders>
              <w:top w:val="nil"/>
              <w:left w:val="nil"/>
              <w:bottom w:val="nil"/>
              <w:right w:val="nil"/>
            </w:tcBorders>
            <w:shd w:val="clear" w:color="auto" w:fill="auto"/>
            <w:noWrap/>
            <w:vAlign w:val="bottom"/>
            <w:hideMark/>
          </w:tcPr>
          <w:p w14:paraId="467FAAB9"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0.8</w:t>
            </w:r>
          </w:p>
        </w:tc>
      </w:tr>
      <w:tr w:rsidR="00AF6774" w:rsidRPr="00580682" w14:paraId="13597C6C" w14:textId="77777777" w:rsidTr="00AF6774">
        <w:trPr>
          <w:trHeight w:val="20"/>
        </w:trPr>
        <w:tc>
          <w:tcPr>
            <w:tcW w:w="3256" w:type="dxa"/>
            <w:tcBorders>
              <w:top w:val="nil"/>
              <w:left w:val="nil"/>
              <w:bottom w:val="nil"/>
              <w:right w:val="nil"/>
            </w:tcBorders>
            <w:shd w:val="clear" w:color="auto" w:fill="auto"/>
            <w:noWrap/>
            <w:vAlign w:val="bottom"/>
            <w:hideMark/>
          </w:tcPr>
          <w:p w14:paraId="6E5F8A69" w14:textId="082E446D" w:rsidR="00AF6774" w:rsidRPr="00580682" w:rsidRDefault="00AF6774" w:rsidP="00F223FF">
            <w:pPr>
              <w:pStyle w:val="NoSpacing"/>
              <w:rPr>
                <w:rFonts w:ascii="Times New Roman" w:hAnsi="Times New Roman" w:cs="Times New Roman"/>
                <w:sz w:val="20"/>
                <w:szCs w:val="20"/>
              </w:rPr>
            </w:pPr>
            <w:r w:rsidRPr="00580682">
              <w:rPr>
                <w:rFonts w:ascii="Times New Roman" w:hAnsi="Times New Roman" w:cs="Times New Roman"/>
                <w:sz w:val="20"/>
                <w:szCs w:val="20"/>
              </w:rPr>
              <w:t xml:space="preserve">Did not receive </w:t>
            </w:r>
            <w:r w:rsidR="00F223FF">
              <w:rPr>
                <w:rFonts w:ascii="Times New Roman" w:hAnsi="Times New Roman" w:cs="Times New Roman"/>
                <w:sz w:val="20"/>
                <w:szCs w:val="20"/>
              </w:rPr>
              <w:t>f</w:t>
            </w:r>
            <w:r w:rsidRPr="00580682">
              <w:rPr>
                <w:rFonts w:ascii="Times New Roman" w:hAnsi="Times New Roman" w:cs="Times New Roman"/>
                <w:sz w:val="20"/>
                <w:szCs w:val="20"/>
              </w:rPr>
              <w:t xml:space="preserve">amily </w:t>
            </w:r>
            <w:r w:rsidR="00F223FF">
              <w:rPr>
                <w:rFonts w:ascii="Times New Roman" w:hAnsi="Times New Roman" w:cs="Times New Roman"/>
                <w:sz w:val="20"/>
                <w:szCs w:val="20"/>
              </w:rPr>
              <w:t>l</w:t>
            </w:r>
            <w:r w:rsidRPr="00580682">
              <w:rPr>
                <w:rFonts w:ascii="Times New Roman" w:hAnsi="Times New Roman" w:cs="Times New Roman"/>
                <w:sz w:val="20"/>
                <w:szCs w:val="20"/>
              </w:rPr>
              <w:t>ife/</w:t>
            </w:r>
            <w:r w:rsidR="00F223FF">
              <w:rPr>
                <w:rFonts w:ascii="Times New Roman" w:hAnsi="Times New Roman" w:cs="Times New Roman"/>
                <w:sz w:val="20"/>
                <w:szCs w:val="20"/>
              </w:rPr>
              <w:t>s</w:t>
            </w:r>
            <w:r w:rsidRPr="00580682">
              <w:rPr>
                <w:rFonts w:ascii="Times New Roman" w:hAnsi="Times New Roman" w:cs="Times New Roman"/>
                <w:sz w:val="20"/>
                <w:szCs w:val="20"/>
              </w:rPr>
              <w:t xml:space="preserve">ex </w:t>
            </w:r>
            <w:r w:rsidR="00F223FF">
              <w:rPr>
                <w:rFonts w:ascii="Times New Roman" w:hAnsi="Times New Roman" w:cs="Times New Roman"/>
                <w:sz w:val="20"/>
                <w:szCs w:val="20"/>
              </w:rPr>
              <w:t>e</w:t>
            </w:r>
            <w:r>
              <w:rPr>
                <w:rFonts w:ascii="Times New Roman" w:hAnsi="Times New Roman" w:cs="Times New Roman"/>
                <w:sz w:val="20"/>
                <w:szCs w:val="20"/>
              </w:rPr>
              <w:t>dn.</w:t>
            </w:r>
          </w:p>
        </w:tc>
        <w:tc>
          <w:tcPr>
            <w:tcW w:w="708" w:type="dxa"/>
            <w:tcBorders>
              <w:top w:val="nil"/>
              <w:left w:val="nil"/>
              <w:bottom w:val="nil"/>
              <w:right w:val="nil"/>
            </w:tcBorders>
            <w:shd w:val="clear" w:color="auto" w:fill="auto"/>
            <w:noWrap/>
            <w:vAlign w:val="bottom"/>
            <w:hideMark/>
          </w:tcPr>
          <w:p w14:paraId="624DC8EA"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4.6</w:t>
            </w:r>
          </w:p>
        </w:tc>
        <w:tc>
          <w:tcPr>
            <w:tcW w:w="567" w:type="dxa"/>
            <w:tcBorders>
              <w:top w:val="nil"/>
              <w:left w:val="nil"/>
              <w:bottom w:val="nil"/>
              <w:right w:val="nil"/>
            </w:tcBorders>
            <w:shd w:val="clear" w:color="auto" w:fill="auto"/>
            <w:noWrap/>
            <w:vAlign w:val="bottom"/>
            <w:hideMark/>
          </w:tcPr>
          <w:p w14:paraId="5D21B311"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2.3</w:t>
            </w:r>
          </w:p>
        </w:tc>
        <w:tc>
          <w:tcPr>
            <w:tcW w:w="567" w:type="dxa"/>
            <w:tcBorders>
              <w:top w:val="nil"/>
              <w:left w:val="nil"/>
              <w:bottom w:val="nil"/>
              <w:right w:val="nil"/>
            </w:tcBorders>
            <w:shd w:val="clear" w:color="auto" w:fill="auto"/>
            <w:noWrap/>
            <w:vAlign w:val="bottom"/>
            <w:hideMark/>
          </w:tcPr>
          <w:p w14:paraId="70DF68E4"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7.3</w:t>
            </w:r>
          </w:p>
        </w:tc>
        <w:tc>
          <w:tcPr>
            <w:tcW w:w="567" w:type="dxa"/>
            <w:tcBorders>
              <w:top w:val="nil"/>
              <w:left w:val="nil"/>
              <w:bottom w:val="nil"/>
              <w:right w:val="nil"/>
            </w:tcBorders>
            <w:shd w:val="clear" w:color="auto" w:fill="auto"/>
            <w:noWrap/>
            <w:vAlign w:val="bottom"/>
            <w:hideMark/>
          </w:tcPr>
          <w:p w14:paraId="45C7EB3D"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2.4</w:t>
            </w:r>
          </w:p>
        </w:tc>
        <w:tc>
          <w:tcPr>
            <w:tcW w:w="567" w:type="dxa"/>
            <w:tcBorders>
              <w:top w:val="nil"/>
              <w:left w:val="nil"/>
              <w:bottom w:val="nil"/>
              <w:right w:val="nil"/>
            </w:tcBorders>
            <w:shd w:val="clear" w:color="auto" w:fill="auto"/>
            <w:noWrap/>
            <w:vAlign w:val="bottom"/>
            <w:hideMark/>
          </w:tcPr>
          <w:p w14:paraId="2198591B"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2.5</w:t>
            </w:r>
          </w:p>
        </w:tc>
        <w:tc>
          <w:tcPr>
            <w:tcW w:w="567" w:type="dxa"/>
            <w:tcBorders>
              <w:top w:val="nil"/>
              <w:left w:val="nil"/>
              <w:bottom w:val="nil"/>
              <w:right w:val="nil"/>
            </w:tcBorders>
            <w:shd w:val="clear" w:color="auto" w:fill="auto"/>
            <w:noWrap/>
            <w:vAlign w:val="bottom"/>
            <w:hideMark/>
          </w:tcPr>
          <w:p w14:paraId="6C9F2165"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2.2</w:t>
            </w:r>
          </w:p>
        </w:tc>
        <w:tc>
          <w:tcPr>
            <w:tcW w:w="567" w:type="dxa"/>
            <w:tcBorders>
              <w:top w:val="nil"/>
              <w:left w:val="nil"/>
              <w:bottom w:val="nil"/>
              <w:right w:val="nil"/>
            </w:tcBorders>
            <w:shd w:val="clear" w:color="auto" w:fill="auto"/>
            <w:noWrap/>
            <w:vAlign w:val="bottom"/>
            <w:hideMark/>
          </w:tcPr>
          <w:p w14:paraId="2FD10F90"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3.8</w:t>
            </w:r>
          </w:p>
        </w:tc>
        <w:tc>
          <w:tcPr>
            <w:tcW w:w="567" w:type="dxa"/>
            <w:tcBorders>
              <w:top w:val="nil"/>
              <w:left w:val="nil"/>
              <w:bottom w:val="nil"/>
              <w:right w:val="nil"/>
            </w:tcBorders>
            <w:shd w:val="clear" w:color="auto" w:fill="auto"/>
            <w:noWrap/>
            <w:vAlign w:val="bottom"/>
            <w:hideMark/>
          </w:tcPr>
          <w:p w14:paraId="024EC223"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0.7</w:t>
            </w:r>
          </w:p>
        </w:tc>
        <w:tc>
          <w:tcPr>
            <w:tcW w:w="567" w:type="dxa"/>
            <w:tcBorders>
              <w:top w:val="nil"/>
              <w:left w:val="nil"/>
              <w:bottom w:val="nil"/>
              <w:right w:val="nil"/>
            </w:tcBorders>
            <w:shd w:val="clear" w:color="auto" w:fill="auto"/>
            <w:noWrap/>
            <w:vAlign w:val="bottom"/>
            <w:hideMark/>
          </w:tcPr>
          <w:p w14:paraId="227A5C62"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3.3</w:t>
            </w:r>
          </w:p>
        </w:tc>
        <w:tc>
          <w:tcPr>
            <w:tcW w:w="567" w:type="dxa"/>
            <w:tcBorders>
              <w:top w:val="nil"/>
              <w:left w:val="nil"/>
              <w:bottom w:val="nil"/>
              <w:right w:val="nil"/>
            </w:tcBorders>
            <w:shd w:val="clear" w:color="auto" w:fill="auto"/>
            <w:noWrap/>
            <w:vAlign w:val="bottom"/>
            <w:hideMark/>
          </w:tcPr>
          <w:p w14:paraId="4B36E0C3"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2.6</w:t>
            </w:r>
          </w:p>
        </w:tc>
      </w:tr>
      <w:tr w:rsidR="00AF6774" w:rsidRPr="00580682" w14:paraId="28DCD163" w14:textId="77777777" w:rsidTr="00AF6774">
        <w:trPr>
          <w:trHeight w:val="20"/>
        </w:trPr>
        <w:tc>
          <w:tcPr>
            <w:tcW w:w="3256" w:type="dxa"/>
            <w:tcBorders>
              <w:top w:val="nil"/>
              <w:left w:val="nil"/>
              <w:bottom w:val="nil"/>
              <w:right w:val="nil"/>
            </w:tcBorders>
            <w:shd w:val="clear" w:color="auto" w:fill="auto"/>
            <w:noWrap/>
            <w:vAlign w:val="bottom"/>
            <w:hideMark/>
          </w:tcPr>
          <w:p w14:paraId="6B06FE11" w14:textId="77777777" w:rsidR="00AF6774" w:rsidRPr="00580682" w:rsidRDefault="00AF6774" w:rsidP="00AF6774">
            <w:pPr>
              <w:pStyle w:val="NoSpacing"/>
              <w:rPr>
                <w:rFonts w:ascii="Times New Roman" w:hAnsi="Times New Roman" w:cs="Times New Roman"/>
                <w:sz w:val="20"/>
                <w:szCs w:val="20"/>
              </w:rPr>
            </w:pPr>
            <w:r w:rsidRPr="00580682">
              <w:rPr>
                <w:rFonts w:ascii="Times New Roman" w:hAnsi="Times New Roman" w:cs="Times New Roman"/>
                <w:sz w:val="20"/>
                <w:szCs w:val="20"/>
              </w:rPr>
              <w:t>Unaware about RTI/STI</w:t>
            </w:r>
          </w:p>
        </w:tc>
        <w:tc>
          <w:tcPr>
            <w:tcW w:w="708" w:type="dxa"/>
            <w:tcBorders>
              <w:top w:val="nil"/>
              <w:left w:val="nil"/>
              <w:bottom w:val="nil"/>
              <w:right w:val="nil"/>
            </w:tcBorders>
            <w:shd w:val="clear" w:color="auto" w:fill="auto"/>
            <w:noWrap/>
            <w:vAlign w:val="bottom"/>
            <w:hideMark/>
          </w:tcPr>
          <w:p w14:paraId="064DD348"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4.4</w:t>
            </w:r>
          </w:p>
        </w:tc>
        <w:tc>
          <w:tcPr>
            <w:tcW w:w="567" w:type="dxa"/>
            <w:tcBorders>
              <w:top w:val="nil"/>
              <w:left w:val="nil"/>
              <w:bottom w:val="nil"/>
              <w:right w:val="nil"/>
            </w:tcBorders>
            <w:shd w:val="clear" w:color="auto" w:fill="auto"/>
            <w:noWrap/>
            <w:vAlign w:val="bottom"/>
            <w:hideMark/>
          </w:tcPr>
          <w:p w14:paraId="72AF236E"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1.4</w:t>
            </w:r>
          </w:p>
        </w:tc>
        <w:tc>
          <w:tcPr>
            <w:tcW w:w="567" w:type="dxa"/>
            <w:tcBorders>
              <w:top w:val="nil"/>
              <w:left w:val="nil"/>
              <w:bottom w:val="nil"/>
              <w:right w:val="nil"/>
            </w:tcBorders>
            <w:shd w:val="clear" w:color="auto" w:fill="auto"/>
            <w:noWrap/>
            <w:vAlign w:val="bottom"/>
            <w:hideMark/>
          </w:tcPr>
          <w:p w14:paraId="43EF2E98"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2.3</w:t>
            </w:r>
          </w:p>
        </w:tc>
        <w:tc>
          <w:tcPr>
            <w:tcW w:w="567" w:type="dxa"/>
            <w:tcBorders>
              <w:top w:val="nil"/>
              <w:left w:val="nil"/>
              <w:bottom w:val="nil"/>
              <w:right w:val="nil"/>
            </w:tcBorders>
            <w:shd w:val="clear" w:color="auto" w:fill="auto"/>
            <w:noWrap/>
            <w:vAlign w:val="bottom"/>
            <w:hideMark/>
          </w:tcPr>
          <w:p w14:paraId="49DB4BF8"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2.1</w:t>
            </w:r>
          </w:p>
        </w:tc>
        <w:tc>
          <w:tcPr>
            <w:tcW w:w="567" w:type="dxa"/>
            <w:tcBorders>
              <w:top w:val="nil"/>
              <w:left w:val="nil"/>
              <w:bottom w:val="nil"/>
              <w:right w:val="nil"/>
            </w:tcBorders>
            <w:shd w:val="clear" w:color="auto" w:fill="auto"/>
            <w:noWrap/>
            <w:vAlign w:val="bottom"/>
            <w:hideMark/>
          </w:tcPr>
          <w:p w14:paraId="7CFE3F42"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1.1</w:t>
            </w:r>
          </w:p>
        </w:tc>
        <w:tc>
          <w:tcPr>
            <w:tcW w:w="567" w:type="dxa"/>
            <w:tcBorders>
              <w:top w:val="nil"/>
              <w:left w:val="nil"/>
              <w:bottom w:val="nil"/>
              <w:right w:val="nil"/>
            </w:tcBorders>
            <w:shd w:val="clear" w:color="auto" w:fill="auto"/>
            <w:noWrap/>
            <w:vAlign w:val="bottom"/>
            <w:hideMark/>
          </w:tcPr>
          <w:p w14:paraId="40CDC2D5"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1.7</w:t>
            </w:r>
          </w:p>
        </w:tc>
        <w:tc>
          <w:tcPr>
            <w:tcW w:w="567" w:type="dxa"/>
            <w:tcBorders>
              <w:top w:val="nil"/>
              <w:left w:val="nil"/>
              <w:bottom w:val="nil"/>
              <w:right w:val="nil"/>
            </w:tcBorders>
            <w:shd w:val="clear" w:color="auto" w:fill="auto"/>
            <w:noWrap/>
            <w:vAlign w:val="bottom"/>
            <w:hideMark/>
          </w:tcPr>
          <w:p w14:paraId="30B848F6"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1.9</w:t>
            </w:r>
          </w:p>
        </w:tc>
        <w:tc>
          <w:tcPr>
            <w:tcW w:w="567" w:type="dxa"/>
            <w:tcBorders>
              <w:top w:val="nil"/>
              <w:left w:val="nil"/>
              <w:bottom w:val="nil"/>
              <w:right w:val="nil"/>
            </w:tcBorders>
            <w:shd w:val="clear" w:color="auto" w:fill="auto"/>
            <w:noWrap/>
            <w:vAlign w:val="bottom"/>
            <w:hideMark/>
          </w:tcPr>
          <w:p w14:paraId="28D3C834"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2.9</w:t>
            </w:r>
          </w:p>
        </w:tc>
        <w:tc>
          <w:tcPr>
            <w:tcW w:w="567" w:type="dxa"/>
            <w:tcBorders>
              <w:top w:val="nil"/>
              <w:left w:val="nil"/>
              <w:bottom w:val="nil"/>
              <w:right w:val="nil"/>
            </w:tcBorders>
            <w:shd w:val="clear" w:color="auto" w:fill="auto"/>
            <w:noWrap/>
            <w:vAlign w:val="bottom"/>
            <w:hideMark/>
          </w:tcPr>
          <w:p w14:paraId="5FB44DA1"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2.6</w:t>
            </w:r>
          </w:p>
        </w:tc>
        <w:tc>
          <w:tcPr>
            <w:tcW w:w="567" w:type="dxa"/>
            <w:tcBorders>
              <w:top w:val="nil"/>
              <w:left w:val="nil"/>
              <w:bottom w:val="nil"/>
              <w:right w:val="nil"/>
            </w:tcBorders>
            <w:shd w:val="clear" w:color="auto" w:fill="auto"/>
            <w:noWrap/>
            <w:vAlign w:val="bottom"/>
            <w:hideMark/>
          </w:tcPr>
          <w:p w14:paraId="2312F20E"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3.6</w:t>
            </w:r>
          </w:p>
        </w:tc>
      </w:tr>
      <w:tr w:rsidR="00AF6774" w:rsidRPr="00580682" w14:paraId="2047F9FC" w14:textId="77777777" w:rsidTr="00AF6774">
        <w:trPr>
          <w:trHeight w:val="20"/>
        </w:trPr>
        <w:tc>
          <w:tcPr>
            <w:tcW w:w="3256" w:type="dxa"/>
            <w:tcBorders>
              <w:top w:val="nil"/>
              <w:left w:val="nil"/>
              <w:bottom w:val="nil"/>
              <w:right w:val="nil"/>
            </w:tcBorders>
            <w:shd w:val="clear" w:color="auto" w:fill="auto"/>
            <w:noWrap/>
            <w:vAlign w:val="bottom"/>
            <w:hideMark/>
          </w:tcPr>
          <w:p w14:paraId="3A5995B0" w14:textId="7487A3D8" w:rsidR="00AF6774" w:rsidRPr="00580682" w:rsidRDefault="00F223FF" w:rsidP="00AF6774">
            <w:pPr>
              <w:pStyle w:val="NoSpacing"/>
              <w:rPr>
                <w:rFonts w:ascii="Times New Roman" w:hAnsi="Times New Roman" w:cs="Times New Roman"/>
                <w:sz w:val="20"/>
                <w:szCs w:val="20"/>
              </w:rPr>
            </w:pPr>
            <w:r>
              <w:rPr>
                <w:rFonts w:ascii="Times New Roman" w:hAnsi="Times New Roman" w:cs="Times New Roman"/>
                <w:sz w:val="20"/>
                <w:szCs w:val="20"/>
              </w:rPr>
              <w:t>Unavailability of t</w:t>
            </w:r>
            <w:r w:rsidR="00AF6774" w:rsidRPr="00580682">
              <w:rPr>
                <w:rFonts w:ascii="Times New Roman" w:hAnsi="Times New Roman" w:cs="Times New Roman"/>
                <w:sz w:val="20"/>
                <w:szCs w:val="20"/>
              </w:rPr>
              <w:t>oilet</w:t>
            </w:r>
          </w:p>
        </w:tc>
        <w:tc>
          <w:tcPr>
            <w:tcW w:w="708" w:type="dxa"/>
            <w:tcBorders>
              <w:top w:val="nil"/>
              <w:left w:val="nil"/>
              <w:bottom w:val="nil"/>
              <w:right w:val="nil"/>
            </w:tcBorders>
            <w:shd w:val="clear" w:color="auto" w:fill="auto"/>
            <w:noWrap/>
            <w:vAlign w:val="bottom"/>
            <w:hideMark/>
          </w:tcPr>
          <w:p w14:paraId="19D048CC"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42.9</w:t>
            </w:r>
          </w:p>
        </w:tc>
        <w:tc>
          <w:tcPr>
            <w:tcW w:w="567" w:type="dxa"/>
            <w:tcBorders>
              <w:top w:val="nil"/>
              <w:left w:val="nil"/>
              <w:bottom w:val="nil"/>
              <w:right w:val="nil"/>
            </w:tcBorders>
            <w:shd w:val="clear" w:color="auto" w:fill="auto"/>
            <w:noWrap/>
            <w:vAlign w:val="bottom"/>
            <w:hideMark/>
          </w:tcPr>
          <w:p w14:paraId="66857500"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36.1</w:t>
            </w:r>
          </w:p>
        </w:tc>
        <w:tc>
          <w:tcPr>
            <w:tcW w:w="567" w:type="dxa"/>
            <w:tcBorders>
              <w:top w:val="nil"/>
              <w:left w:val="nil"/>
              <w:bottom w:val="nil"/>
              <w:right w:val="nil"/>
            </w:tcBorders>
            <w:shd w:val="clear" w:color="auto" w:fill="auto"/>
            <w:noWrap/>
            <w:vAlign w:val="bottom"/>
            <w:hideMark/>
          </w:tcPr>
          <w:p w14:paraId="28E6785D"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8.6</w:t>
            </w:r>
          </w:p>
        </w:tc>
        <w:tc>
          <w:tcPr>
            <w:tcW w:w="567" w:type="dxa"/>
            <w:tcBorders>
              <w:top w:val="nil"/>
              <w:left w:val="nil"/>
              <w:bottom w:val="nil"/>
              <w:right w:val="nil"/>
            </w:tcBorders>
            <w:shd w:val="clear" w:color="auto" w:fill="auto"/>
            <w:noWrap/>
            <w:vAlign w:val="bottom"/>
            <w:hideMark/>
          </w:tcPr>
          <w:p w14:paraId="2CA448D3"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30.5</w:t>
            </w:r>
          </w:p>
        </w:tc>
        <w:tc>
          <w:tcPr>
            <w:tcW w:w="567" w:type="dxa"/>
            <w:tcBorders>
              <w:top w:val="nil"/>
              <w:left w:val="nil"/>
              <w:bottom w:val="nil"/>
              <w:right w:val="nil"/>
            </w:tcBorders>
            <w:shd w:val="clear" w:color="auto" w:fill="auto"/>
            <w:noWrap/>
            <w:vAlign w:val="bottom"/>
            <w:hideMark/>
          </w:tcPr>
          <w:p w14:paraId="358A939B"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49.5</w:t>
            </w:r>
          </w:p>
        </w:tc>
        <w:tc>
          <w:tcPr>
            <w:tcW w:w="567" w:type="dxa"/>
            <w:tcBorders>
              <w:top w:val="nil"/>
              <w:left w:val="nil"/>
              <w:bottom w:val="nil"/>
              <w:right w:val="nil"/>
            </w:tcBorders>
            <w:shd w:val="clear" w:color="auto" w:fill="auto"/>
            <w:noWrap/>
            <w:vAlign w:val="bottom"/>
            <w:hideMark/>
          </w:tcPr>
          <w:p w14:paraId="204D69B1"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32.0</w:t>
            </w:r>
          </w:p>
        </w:tc>
        <w:tc>
          <w:tcPr>
            <w:tcW w:w="567" w:type="dxa"/>
            <w:tcBorders>
              <w:top w:val="nil"/>
              <w:left w:val="nil"/>
              <w:bottom w:val="nil"/>
              <w:right w:val="nil"/>
            </w:tcBorders>
            <w:shd w:val="clear" w:color="auto" w:fill="auto"/>
            <w:noWrap/>
            <w:vAlign w:val="bottom"/>
            <w:hideMark/>
          </w:tcPr>
          <w:p w14:paraId="54DC709C"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41.9</w:t>
            </w:r>
          </w:p>
        </w:tc>
        <w:tc>
          <w:tcPr>
            <w:tcW w:w="567" w:type="dxa"/>
            <w:tcBorders>
              <w:top w:val="nil"/>
              <w:left w:val="nil"/>
              <w:bottom w:val="nil"/>
              <w:right w:val="nil"/>
            </w:tcBorders>
            <w:shd w:val="clear" w:color="auto" w:fill="auto"/>
            <w:noWrap/>
            <w:vAlign w:val="bottom"/>
            <w:hideMark/>
          </w:tcPr>
          <w:p w14:paraId="27D8EB30"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28.3</w:t>
            </w:r>
          </w:p>
        </w:tc>
        <w:tc>
          <w:tcPr>
            <w:tcW w:w="567" w:type="dxa"/>
            <w:tcBorders>
              <w:top w:val="nil"/>
              <w:left w:val="nil"/>
              <w:bottom w:val="nil"/>
              <w:right w:val="nil"/>
            </w:tcBorders>
            <w:shd w:val="clear" w:color="auto" w:fill="auto"/>
            <w:noWrap/>
            <w:vAlign w:val="bottom"/>
            <w:hideMark/>
          </w:tcPr>
          <w:p w14:paraId="47C35419"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45.9</w:t>
            </w:r>
          </w:p>
        </w:tc>
        <w:tc>
          <w:tcPr>
            <w:tcW w:w="567" w:type="dxa"/>
            <w:tcBorders>
              <w:top w:val="nil"/>
              <w:left w:val="nil"/>
              <w:bottom w:val="nil"/>
              <w:right w:val="nil"/>
            </w:tcBorders>
            <w:shd w:val="clear" w:color="auto" w:fill="auto"/>
            <w:noWrap/>
            <w:vAlign w:val="bottom"/>
            <w:hideMark/>
          </w:tcPr>
          <w:p w14:paraId="2B7E1DBF" w14:textId="77777777" w:rsidR="00AF6774" w:rsidRPr="00580682" w:rsidRDefault="00AF6774" w:rsidP="00AF6774">
            <w:pPr>
              <w:pStyle w:val="NoSpacing"/>
              <w:jc w:val="right"/>
              <w:rPr>
                <w:rFonts w:ascii="Times New Roman" w:hAnsi="Times New Roman" w:cs="Times New Roman"/>
                <w:sz w:val="20"/>
                <w:szCs w:val="20"/>
              </w:rPr>
            </w:pPr>
            <w:r w:rsidRPr="00580682">
              <w:rPr>
                <w:rFonts w:ascii="Times New Roman" w:hAnsi="Times New Roman" w:cs="Times New Roman"/>
                <w:sz w:val="20"/>
                <w:szCs w:val="20"/>
              </w:rPr>
              <w:t>24.1</w:t>
            </w:r>
          </w:p>
        </w:tc>
      </w:tr>
      <w:tr w:rsidR="00AF6774" w:rsidRPr="00580682" w14:paraId="5A24521E" w14:textId="77777777" w:rsidTr="00AF6774">
        <w:trPr>
          <w:trHeight w:val="20"/>
        </w:trPr>
        <w:tc>
          <w:tcPr>
            <w:tcW w:w="3256" w:type="dxa"/>
            <w:tcBorders>
              <w:top w:val="nil"/>
              <w:left w:val="nil"/>
              <w:bottom w:val="single" w:sz="4" w:space="0" w:color="auto"/>
              <w:right w:val="nil"/>
            </w:tcBorders>
            <w:shd w:val="clear" w:color="auto" w:fill="auto"/>
            <w:noWrap/>
            <w:vAlign w:val="bottom"/>
            <w:hideMark/>
          </w:tcPr>
          <w:p w14:paraId="044E0AF9" w14:textId="77777777" w:rsidR="00AF6774" w:rsidRPr="00580682" w:rsidRDefault="00AF6774" w:rsidP="00AF6774">
            <w:pPr>
              <w:pStyle w:val="NoSpacing"/>
              <w:rPr>
                <w:rFonts w:ascii="Times New Roman" w:hAnsi="Times New Roman" w:cs="Times New Roman"/>
                <w:sz w:val="20"/>
                <w:szCs w:val="20"/>
              </w:rPr>
            </w:pPr>
            <w:r w:rsidRPr="00580682">
              <w:rPr>
                <w:rFonts w:ascii="Times New Roman" w:hAnsi="Times New Roman" w:cs="Times New Roman"/>
                <w:sz w:val="20"/>
                <w:szCs w:val="20"/>
              </w:rPr>
              <w:t>Total</w:t>
            </w:r>
          </w:p>
        </w:tc>
        <w:tc>
          <w:tcPr>
            <w:tcW w:w="708" w:type="dxa"/>
            <w:tcBorders>
              <w:top w:val="nil"/>
              <w:left w:val="nil"/>
              <w:bottom w:val="single" w:sz="4" w:space="0" w:color="auto"/>
              <w:right w:val="nil"/>
            </w:tcBorders>
            <w:shd w:val="clear" w:color="auto" w:fill="auto"/>
            <w:noWrap/>
            <w:vAlign w:val="bottom"/>
            <w:hideMark/>
          </w:tcPr>
          <w:p w14:paraId="41079E71"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nil"/>
              <w:left w:val="nil"/>
              <w:bottom w:val="single" w:sz="4" w:space="0" w:color="auto"/>
              <w:right w:val="nil"/>
            </w:tcBorders>
            <w:shd w:val="clear" w:color="auto" w:fill="auto"/>
            <w:noWrap/>
            <w:vAlign w:val="bottom"/>
            <w:hideMark/>
          </w:tcPr>
          <w:p w14:paraId="5C56206D"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nil"/>
              <w:left w:val="nil"/>
              <w:bottom w:val="single" w:sz="4" w:space="0" w:color="auto"/>
              <w:right w:val="nil"/>
            </w:tcBorders>
            <w:shd w:val="clear" w:color="auto" w:fill="auto"/>
            <w:noWrap/>
            <w:vAlign w:val="bottom"/>
            <w:hideMark/>
          </w:tcPr>
          <w:p w14:paraId="6F26EB75"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nil"/>
              <w:left w:val="nil"/>
              <w:bottom w:val="single" w:sz="4" w:space="0" w:color="auto"/>
              <w:right w:val="nil"/>
            </w:tcBorders>
            <w:shd w:val="clear" w:color="auto" w:fill="auto"/>
            <w:noWrap/>
            <w:vAlign w:val="bottom"/>
            <w:hideMark/>
          </w:tcPr>
          <w:p w14:paraId="4323DCFE"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nil"/>
              <w:left w:val="nil"/>
              <w:bottom w:val="single" w:sz="4" w:space="0" w:color="auto"/>
              <w:right w:val="nil"/>
            </w:tcBorders>
            <w:shd w:val="clear" w:color="auto" w:fill="auto"/>
            <w:noWrap/>
            <w:vAlign w:val="bottom"/>
            <w:hideMark/>
          </w:tcPr>
          <w:p w14:paraId="51E1CEEB"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nil"/>
              <w:left w:val="nil"/>
              <w:bottom w:val="single" w:sz="4" w:space="0" w:color="auto"/>
              <w:right w:val="nil"/>
            </w:tcBorders>
            <w:shd w:val="clear" w:color="auto" w:fill="auto"/>
            <w:noWrap/>
            <w:vAlign w:val="bottom"/>
            <w:hideMark/>
          </w:tcPr>
          <w:p w14:paraId="5ECBF49F"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nil"/>
              <w:left w:val="nil"/>
              <w:bottom w:val="single" w:sz="4" w:space="0" w:color="auto"/>
              <w:right w:val="nil"/>
            </w:tcBorders>
            <w:shd w:val="clear" w:color="auto" w:fill="auto"/>
            <w:noWrap/>
            <w:vAlign w:val="bottom"/>
            <w:hideMark/>
          </w:tcPr>
          <w:p w14:paraId="51745D24"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nil"/>
              <w:left w:val="nil"/>
              <w:bottom w:val="single" w:sz="4" w:space="0" w:color="auto"/>
              <w:right w:val="nil"/>
            </w:tcBorders>
            <w:shd w:val="clear" w:color="auto" w:fill="auto"/>
            <w:noWrap/>
            <w:vAlign w:val="bottom"/>
            <w:hideMark/>
          </w:tcPr>
          <w:p w14:paraId="7825FEB3"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nil"/>
              <w:left w:val="nil"/>
              <w:bottom w:val="single" w:sz="4" w:space="0" w:color="auto"/>
              <w:right w:val="nil"/>
            </w:tcBorders>
            <w:shd w:val="clear" w:color="auto" w:fill="auto"/>
            <w:noWrap/>
            <w:vAlign w:val="bottom"/>
            <w:hideMark/>
          </w:tcPr>
          <w:p w14:paraId="64A903F3"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nil"/>
              <w:left w:val="nil"/>
              <w:bottom w:val="single" w:sz="4" w:space="0" w:color="auto"/>
              <w:right w:val="nil"/>
            </w:tcBorders>
            <w:shd w:val="clear" w:color="auto" w:fill="auto"/>
            <w:noWrap/>
            <w:vAlign w:val="bottom"/>
            <w:hideMark/>
          </w:tcPr>
          <w:p w14:paraId="430962E9" w14:textId="77777777" w:rsidR="00AF6774" w:rsidRPr="00580682" w:rsidRDefault="00AF6774" w:rsidP="00AF6774">
            <w:pPr>
              <w:pStyle w:val="NoSpacing"/>
              <w:jc w:val="right"/>
              <w:rPr>
                <w:rFonts w:ascii="Times New Roman" w:hAnsi="Times New Roman" w:cs="Times New Roman"/>
                <w:sz w:val="20"/>
                <w:szCs w:val="20"/>
              </w:rPr>
            </w:pPr>
            <w:r>
              <w:rPr>
                <w:rFonts w:ascii="Times New Roman" w:hAnsi="Times New Roman" w:cs="Times New Roman"/>
                <w:sz w:val="20"/>
                <w:szCs w:val="20"/>
              </w:rPr>
              <w:t>100</w:t>
            </w:r>
          </w:p>
        </w:tc>
      </w:tr>
      <w:tr w:rsidR="00AF6774" w:rsidRPr="009E0684" w14:paraId="4D460846" w14:textId="77777777" w:rsidTr="00AF6774">
        <w:trPr>
          <w:trHeight w:val="20"/>
        </w:trPr>
        <w:tc>
          <w:tcPr>
            <w:tcW w:w="9067" w:type="dxa"/>
            <w:gridSpan w:val="11"/>
            <w:tcBorders>
              <w:top w:val="single" w:sz="4" w:space="0" w:color="auto"/>
              <w:left w:val="nil"/>
              <w:bottom w:val="single" w:sz="4" w:space="0" w:color="auto"/>
              <w:right w:val="nil"/>
            </w:tcBorders>
            <w:shd w:val="clear" w:color="auto" w:fill="auto"/>
            <w:noWrap/>
            <w:vAlign w:val="bottom"/>
          </w:tcPr>
          <w:p w14:paraId="3E6F420F" w14:textId="1C10392F" w:rsidR="00AF6774" w:rsidRPr="009E0684" w:rsidRDefault="00726928" w:rsidP="00AF6774">
            <w:pPr>
              <w:pStyle w:val="NoSpacing"/>
              <w:jc w:val="both"/>
              <w:rPr>
                <w:rFonts w:ascii="Times New Roman" w:hAnsi="Times New Roman" w:cs="Times New Roman"/>
                <w:sz w:val="18"/>
                <w:szCs w:val="18"/>
              </w:rPr>
            </w:pPr>
            <w:r>
              <w:rPr>
                <w:rFonts w:ascii="Times New Roman" w:hAnsi="Times New Roman" w:cs="Times New Roman"/>
                <w:sz w:val="18"/>
                <w:szCs w:val="18"/>
              </w:rPr>
              <w:t xml:space="preserve">Note: </w:t>
            </w:r>
            <w:r w:rsidR="00AF6774" w:rsidRPr="009E0684">
              <w:rPr>
                <w:rFonts w:ascii="Times New Roman" w:hAnsi="Times New Roman" w:cs="Times New Roman"/>
                <w:sz w:val="18"/>
                <w:szCs w:val="18"/>
              </w:rPr>
              <w:t>MP: Madhya Pradesh; AS: Assam; BH: Bihar; CH: C</w:t>
            </w:r>
            <w:r w:rsidR="00AF6774">
              <w:rPr>
                <w:rFonts w:ascii="Times New Roman" w:hAnsi="Times New Roman" w:cs="Times New Roman"/>
                <w:sz w:val="18"/>
                <w:szCs w:val="18"/>
              </w:rPr>
              <w:t>G</w:t>
            </w:r>
            <w:r w:rsidR="00AF6774" w:rsidRPr="009E0684">
              <w:rPr>
                <w:rFonts w:ascii="Times New Roman" w:hAnsi="Times New Roman" w:cs="Times New Roman"/>
                <w:sz w:val="18"/>
                <w:szCs w:val="18"/>
              </w:rPr>
              <w:t>; JH: Jharkhand; OR: Orissa; RJ: Rajasthan; UP: Uttar Pradesh; UK: Uttarakhand</w:t>
            </w:r>
            <w:r w:rsidR="00E81A05">
              <w:rPr>
                <w:rFonts w:ascii="Times New Roman" w:hAnsi="Times New Roman" w:cs="Times New Roman"/>
                <w:sz w:val="18"/>
                <w:szCs w:val="18"/>
              </w:rPr>
              <w:t>.</w:t>
            </w:r>
          </w:p>
        </w:tc>
      </w:tr>
    </w:tbl>
    <w:p w14:paraId="1349F41C" w14:textId="77777777" w:rsidR="00CA64D1" w:rsidRDefault="00CA64D1" w:rsidP="00CA64D1">
      <w:pPr>
        <w:spacing w:after="0" w:line="240" w:lineRule="auto"/>
        <w:ind w:firstLine="567"/>
        <w:jc w:val="both"/>
        <w:rPr>
          <w:rFonts w:asciiTheme="minorBidi" w:hAnsiTheme="minorBidi" w:cs="Times New Roman"/>
          <w:b/>
        </w:rPr>
      </w:pPr>
    </w:p>
    <w:p w14:paraId="4A90F26C" w14:textId="17268082" w:rsidR="002E66D2" w:rsidRPr="00CA64D1" w:rsidRDefault="002E66D2" w:rsidP="00CA64D1">
      <w:pPr>
        <w:spacing w:after="0" w:line="240" w:lineRule="auto"/>
        <w:jc w:val="both"/>
        <w:rPr>
          <w:rFonts w:asciiTheme="minorBidi" w:hAnsiTheme="minorBidi" w:cs="Times New Roman"/>
          <w:i/>
        </w:rPr>
      </w:pPr>
      <w:r w:rsidRPr="00CA64D1">
        <w:rPr>
          <w:rFonts w:asciiTheme="minorBidi" w:hAnsiTheme="minorBidi" w:cs="Times New Roman"/>
          <w:i/>
        </w:rPr>
        <w:t>Unexplained residual</w:t>
      </w:r>
    </w:p>
    <w:p w14:paraId="0EEB631C" w14:textId="77777777" w:rsidR="00CA64D1" w:rsidRDefault="00CA64D1" w:rsidP="00CA64D1">
      <w:pPr>
        <w:spacing w:after="0" w:line="240" w:lineRule="auto"/>
        <w:ind w:firstLine="567"/>
        <w:jc w:val="both"/>
        <w:rPr>
          <w:rFonts w:asciiTheme="minorBidi" w:hAnsiTheme="minorBidi" w:cs="Times New Roman"/>
        </w:rPr>
      </w:pPr>
    </w:p>
    <w:p w14:paraId="35B0F7A5" w14:textId="02996A1C" w:rsidR="002E66D2" w:rsidRPr="00CA64D1" w:rsidRDefault="002E66D2" w:rsidP="00CA64D1">
      <w:pPr>
        <w:spacing w:after="0" w:line="240" w:lineRule="auto"/>
        <w:ind w:firstLine="567"/>
        <w:jc w:val="both"/>
        <w:rPr>
          <w:rFonts w:asciiTheme="minorBidi" w:hAnsiTheme="minorBidi" w:cs="Times New Roman"/>
        </w:rPr>
      </w:pPr>
      <w:r w:rsidRPr="00CA64D1">
        <w:rPr>
          <w:rFonts w:asciiTheme="minorBidi" w:hAnsiTheme="minorBidi" w:cs="Times New Roman"/>
        </w:rPr>
        <w:t>Of all the ten socio-economic predictor variables fitted in the model, the unavailability of toilets at the households, less num</w:t>
      </w:r>
      <w:r w:rsidR="0045695D">
        <w:rPr>
          <w:rFonts w:asciiTheme="minorBidi" w:hAnsiTheme="minorBidi" w:cs="Times New Roman"/>
        </w:rPr>
        <w:t xml:space="preserve">ber of years of schooling, and </w:t>
      </w:r>
      <w:r w:rsidRPr="00CA64D1">
        <w:rPr>
          <w:rFonts w:asciiTheme="minorBidi" w:hAnsiTheme="minorBidi" w:cs="Times New Roman"/>
        </w:rPr>
        <w:t>rural residence of the respondents explain the major part of total health inequalities in most of the states (Fig</w:t>
      </w:r>
      <w:r w:rsidR="00F223FF">
        <w:rPr>
          <w:rFonts w:asciiTheme="minorBidi" w:hAnsiTheme="minorBidi" w:cs="Times New Roman"/>
        </w:rPr>
        <w:t>ure</w:t>
      </w:r>
      <w:r w:rsidRPr="00CA64D1">
        <w:rPr>
          <w:rFonts w:asciiTheme="minorBidi" w:hAnsiTheme="minorBidi" w:cs="Times New Roman"/>
        </w:rPr>
        <w:t xml:space="preserve"> 3). However, in the </w:t>
      </w:r>
      <w:r w:rsidRPr="00CA64D1">
        <w:rPr>
          <w:rFonts w:asciiTheme="minorBidi" w:hAnsiTheme="minorBidi" w:cs="Times New Roman"/>
        </w:rPr>
        <w:lastRenderedPageBreak/>
        <w:t>case of Chhattisgarh, Bihar, Jharkhand, Rajasthan and Uttar Pradesh, the socio-economic covariates considered did not explain some part of the inequalities in the use of sanitary napkins. The results of these states show slightly higher residual than the national level residual. For example, in Chhattisgarh the total inequality measured in terms of concentration indices was 0.692, of which only 0.5781 was explained by the socio-economic covariates examined, leaving a residual of 0.1137. It implies that there are some other (unexplained) factors</w:t>
      </w:r>
      <w:r w:rsidR="00DF3D4B">
        <w:rPr>
          <w:rFonts w:asciiTheme="minorBidi" w:hAnsiTheme="minorBidi" w:cs="Times New Roman"/>
        </w:rPr>
        <w:t xml:space="preserve"> </w:t>
      </w:r>
      <w:r w:rsidRPr="00CA64D1">
        <w:rPr>
          <w:rFonts w:asciiTheme="minorBidi" w:hAnsiTheme="minorBidi" w:cs="Times New Roman"/>
        </w:rPr>
        <w:t xml:space="preserve">which may contribute to the total inequalities in the use of sanitary napkins in these states. </w:t>
      </w:r>
    </w:p>
    <w:p w14:paraId="4D376919" w14:textId="77777777" w:rsidR="00CA64D1" w:rsidRDefault="00CA64D1" w:rsidP="00CA64D1">
      <w:pPr>
        <w:spacing w:after="0" w:line="240" w:lineRule="auto"/>
        <w:ind w:firstLine="567"/>
        <w:jc w:val="both"/>
        <w:rPr>
          <w:rFonts w:asciiTheme="minorBidi" w:hAnsiTheme="minorBidi" w:cs="Times New Roman"/>
          <w:b/>
        </w:rPr>
      </w:pPr>
    </w:p>
    <w:p w14:paraId="3536D11D" w14:textId="77777777" w:rsidR="009D6B6E" w:rsidRPr="009D6B6E" w:rsidRDefault="009D6B6E" w:rsidP="009D6B6E">
      <w:pPr>
        <w:spacing w:after="0" w:line="240" w:lineRule="auto"/>
        <w:jc w:val="center"/>
        <w:rPr>
          <w:rFonts w:ascii="Times New Roman" w:hAnsi="Times New Roman" w:cs="Times New Roman"/>
        </w:rPr>
      </w:pPr>
      <w:r w:rsidRPr="009D6B6E">
        <w:rPr>
          <w:rFonts w:ascii="Times New Roman" w:hAnsi="Times New Roman" w:cs="Times New Roman"/>
          <w:bCs/>
        </w:rPr>
        <w:t xml:space="preserve">Figure 3: </w:t>
      </w:r>
      <w:r w:rsidRPr="009D6B6E">
        <w:rPr>
          <w:rFonts w:ascii="Times New Roman" w:hAnsi="Times New Roman" w:cs="Times New Roman"/>
        </w:rPr>
        <w:t>Residuals (unexplained contribution by States and India), 2007-08</w:t>
      </w:r>
    </w:p>
    <w:p w14:paraId="6CED4A1C" w14:textId="77777777" w:rsidR="002767EA" w:rsidRDefault="009D6B6E" w:rsidP="002767EA">
      <w:pPr>
        <w:spacing w:after="0" w:line="240" w:lineRule="auto"/>
        <w:rPr>
          <w:rFonts w:asciiTheme="minorBidi" w:hAnsiTheme="minorBidi" w:cs="Times New Roman"/>
          <w:b/>
        </w:rPr>
      </w:pPr>
      <w:r>
        <w:rPr>
          <w:rFonts w:asciiTheme="minorBidi" w:hAnsiTheme="minorBidi"/>
          <w:noProof/>
          <w:sz w:val="24"/>
          <w:szCs w:val="24"/>
          <w:lang w:val="en-IN" w:eastAsia="en-IN"/>
        </w:rPr>
        <w:drawing>
          <wp:inline distT="0" distB="0" distL="0" distR="0" wp14:anchorId="29B0BEFE" wp14:editId="70AF0FB5">
            <wp:extent cx="5558196" cy="311467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3.tiff"/>
                    <pic:cNvPicPr/>
                  </pic:nvPicPr>
                  <pic:blipFill>
                    <a:blip r:embed="rId10">
                      <a:extLst>
                        <a:ext uri="{28A0092B-C50C-407E-A947-70E740481C1C}">
                          <a14:useLocalDpi xmlns:a14="http://schemas.microsoft.com/office/drawing/2010/main" val="0"/>
                        </a:ext>
                      </a:extLst>
                    </a:blip>
                    <a:stretch>
                      <a:fillRect/>
                    </a:stretch>
                  </pic:blipFill>
                  <pic:spPr>
                    <a:xfrm>
                      <a:off x="0" y="0"/>
                      <a:ext cx="5566451" cy="3119301"/>
                    </a:xfrm>
                    <a:prstGeom prst="rect">
                      <a:avLst/>
                    </a:prstGeom>
                  </pic:spPr>
                </pic:pic>
              </a:graphicData>
            </a:graphic>
          </wp:inline>
        </w:drawing>
      </w:r>
    </w:p>
    <w:p w14:paraId="32F7783C" w14:textId="77777777" w:rsidR="002767EA" w:rsidRDefault="002767EA" w:rsidP="002767EA">
      <w:pPr>
        <w:spacing w:after="0" w:line="240" w:lineRule="auto"/>
        <w:rPr>
          <w:rFonts w:asciiTheme="minorBidi" w:hAnsiTheme="minorBidi" w:cs="Times New Roman"/>
          <w:b/>
        </w:rPr>
      </w:pPr>
    </w:p>
    <w:p w14:paraId="6FCAB7B7" w14:textId="1960D5D1" w:rsidR="002E66D2" w:rsidRPr="00CA64D1" w:rsidRDefault="00CA64D1" w:rsidP="002767EA">
      <w:pPr>
        <w:spacing w:after="0" w:line="240" w:lineRule="auto"/>
        <w:rPr>
          <w:rFonts w:asciiTheme="minorBidi" w:hAnsiTheme="minorBidi" w:cs="Times New Roman"/>
          <w:b/>
        </w:rPr>
      </w:pPr>
      <w:r>
        <w:rPr>
          <w:rFonts w:asciiTheme="minorBidi" w:hAnsiTheme="minorBidi" w:cs="Times New Roman"/>
          <w:b/>
        </w:rPr>
        <w:t xml:space="preserve">VI. </w:t>
      </w:r>
      <w:r w:rsidR="002E66D2" w:rsidRPr="00CA64D1">
        <w:rPr>
          <w:rFonts w:asciiTheme="minorBidi" w:hAnsiTheme="minorBidi" w:cs="Times New Roman"/>
          <w:b/>
        </w:rPr>
        <w:t>Discussion</w:t>
      </w:r>
    </w:p>
    <w:p w14:paraId="481B4967" w14:textId="77777777" w:rsidR="00CA64D1" w:rsidRDefault="00CA64D1" w:rsidP="00CA64D1">
      <w:pPr>
        <w:spacing w:after="0" w:line="240" w:lineRule="auto"/>
        <w:ind w:firstLine="567"/>
        <w:jc w:val="both"/>
        <w:rPr>
          <w:rFonts w:asciiTheme="minorBidi" w:hAnsiTheme="minorBidi" w:cs="Times New Roman"/>
          <w:lang w:val="en-US"/>
        </w:rPr>
      </w:pPr>
    </w:p>
    <w:p w14:paraId="5F3476AD" w14:textId="72DCCF57" w:rsidR="009B1AF2" w:rsidRDefault="002E66D2" w:rsidP="00CA64D1">
      <w:pPr>
        <w:spacing w:after="0" w:line="240" w:lineRule="auto"/>
        <w:ind w:firstLine="567"/>
        <w:jc w:val="both"/>
        <w:rPr>
          <w:rFonts w:asciiTheme="minorBidi" w:hAnsiTheme="minorBidi" w:cs="Times New Roman"/>
          <w:lang w:val="en-US"/>
        </w:rPr>
      </w:pPr>
      <w:r w:rsidRPr="00CA64D1">
        <w:rPr>
          <w:rFonts w:asciiTheme="minorBidi" w:hAnsiTheme="minorBidi" w:cs="Times New Roman"/>
          <w:lang w:val="en-US"/>
        </w:rPr>
        <w:t xml:space="preserve">We examined the </w:t>
      </w:r>
      <w:r w:rsidR="00BE232B" w:rsidRPr="00CA64D1">
        <w:rPr>
          <w:rFonts w:asciiTheme="minorBidi" w:hAnsiTheme="minorBidi" w:cs="Times New Roman"/>
          <w:lang w:val="en-US"/>
        </w:rPr>
        <w:t>widespread</w:t>
      </w:r>
      <w:r w:rsidRPr="00CA64D1">
        <w:rPr>
          <w:rFonts w:asciiTheme="minorBidi" w:hAnsiTheme="minorBidi" w:cs="Times New Roman"/>
          <w:lang w:val="en-US"/>
        </w:rPr>
        <w:t xml:space="preserve"> socio-economic inequalities in the use of sanitary napkins among the unmarried young women in India.</w:t>
      </w:r>
      <w:r w:rsidR="00A10B73">
        <w:rPr>
          <w:rFonts w:asciiTheme="minorBidi" w:hAnsiTheme="minorBidi" w:cs="Times New Roman"/>
          <w:lang w:val="en-US"/>
        </w:rPr>
        <w:t xml:space="preserve"> T</w:t>
      </w:r>
      <w:r w:rsidRPr="00CA64D1">
        <w:rPr>
          <w:rFonts w:asciiTheme="minorBidi" w:hAnsiTheme="minorBidi" w:cs="Times New Roman"/>
          <w:lang w:val="en-US"/>
        </w:rPr>
        <w:t>he study</w:t>
      </w:r>
      <w:r w:rsidR="00A10B73">
        <w:rPr>
          <w:rFonts w:asciiTheme="minorBidi" w:hAnsiTheme="minorBidi" w:cs="Times New Roman"/>
          <w:lang w:val="en-US"/>
        </w:rPr>
        <w:t xml:space="preserve"> also</w:t>
      </w:r>
      <w:r w:rsidRPr="00CA64D1">
        <w:rPr>
          <w:rFonts w:asciiTheme="minorBidi" w:hAnsiTheme="minorBidi" w:cs="Times New Roman"/>
          <w:lang w:val="en-US"/>
        </w:rPr>
        <w:t xml:space="preserve"> explored the contribution of the major determining factors for the persisting disparities in </w:t>
      </w:r>
      <w:r w:rsidR="00BE232B">
        <w:rPr>
          <w:rFonts w:asciiTheme="minorBidi" w:hAnsiTheme="minorBidi" w:cs="Times New Roman"/>
          <w:lang w:val="en-US"/>
        </w:rPr>
        <w:t xml:space="preserve">the </w:t>
      </w:r>
      <w:r w:rsidRPr="00CA64D1">
        <w:rPr>
          <w:rFonts w:asciiTheme="minorBidi" w:hAnsiTheme="minorBidi" w:cs="Times New Roman"/>
          <w:lang w:val="en-US"/>
        </w:rPr>
        <w:t xml:space="preserve">use of hygienic methods during menstruation. The primary factors identified as the determinants in </w:t>
      </w:r>
      <w:r w:rsidR="00A10B73">
        <w:rPr>
          <w:rFonts w:asciiTheme="minorBidi" w:hAnsiTheme="minorBidi" w:cs="Times New Roman"/>
          <w:lang w:val="en-US"/>
        </w:rPr>
        <w:t xml:space="preserve">the </w:t>
      </w:r>
      <w:r w:rsidRPr="00CA64D1">
        <w:rPr>
          <w:rFonts w:asciiTheme="minorBidi" w:hAnsiTheme="minorBidi" w:cs="Times New Roman"/>
          <w:lang w:val="en-US"/>
        </w:rPr>
        <w:t xml:space="preserve">use of hygienic methods included availability of toilet facility at the household level, followed by higher number of years of schooling of the young women, urban residence and rich economic status </w:t>
      </w:r>
      <w:r w:rsidRPr="0045695D">
        <w:rPr>
          <w:rFonts w:asciiTheme="minorBidi" w:hAnsiTheme="minorBidi" w:cs="Times New Roman"/>
          <w:lang w:val="en-US"/>
        </w:rPr>
        <w:t xml:space="preserve">respectively. </w:t>
      </w:r>
      <w:r w:rsidRPr="00CA64D1">
        <w:rPr>
          <w:rFonts w:asciiTheme="minorBidi" w:hAnsiTheme="minorBidi" w:cs="Times New Roman"/>
          <w:lang w:val="en-US"/>
        </w:rPr>
        <w:t>A greater concentration in the use of sanitary napkin</w:t>
      </w:r>
      <w:r w:rsidR="00E81A05">
        <w:rPr>
          <w:rFonts w:asciiTheme="minorBidi" w:hAnsiTheme="minorBidi" w:cs="Times New Roman"/>
          <w:lang w:val="en-US"/>
        </w:rPr>
        <w:t>s</w:t>
      </w:r>
      <w:r w:rsidRPr="00CA64D1">
        <w:rPr>
          <w:rFonts w:asciiTheme="minorBidi" w:hAnsiTheme="minorBidi" w:cs="Times New Roman"/>
          <w:lang w:val="en-US"/>
        </w:rPr>
        <w:t xml:space="preserve"> is observed among the socio-economically well off section</w:t>
      </w:r>
      <w:r w:rsidR="00E81A05">
        <w:rPr>
          <w:rFonts w:asciiTheme="minorBidi" w:hAnsiTheme="minorBidi" w:cs="Times New Roman"/>
          <w:lang w:val="en-US"/>
        </w:rPr>
        <w:t>s</w:t>
      </w:r>
      <w:r w:rsidRPr="00CA64D1">
        <w:rPr>
          <w:rFonts w:asciiTheme="minorBidi" w:hAnsiTheme="minorBidi" w:cs="Times New Roman"/>
          <w:lang w:val="en-US"/>
        </w:rPr>
        <w:t xml:space="preserve"> of the society across EAG states and at all</w:t>
      </w:r>
      <w:r w:rsidR="00E81A05">
        <w:rPr>
          <w:rFonts w:asciiTheme="minorBidi" w:hAnsiTheme="minorBidi" w:cs="Times New Roman"/>
          <w:lang w:val="en-US"/>
        </w:rPr>
        <w:t>-</w:t>
      </w:r>
      <w:r w:rsidRPr="00CA64D1">
        <w:rPr>
          <w:rFonts w:asciiTheme="minorBidi" w:hAnsiTheme="minorBidi" w:cs="Times New Roman"/>
          <w:lang w:val="en-US"/>
        </w:rPr>
        <w:t>India level. The major factors contributing to the inequality in the use of sanitary napkin</w:t>
      </w:r>
      <w:r w:rsidR="00E81A05">
        <w:rPr>
          <w:rFonts w:asciiTheme="minorBidi" w:hAnsiTheme="minorBidi" w:cs="Times New Roman"/>
          <w:lang w:val="en-US"/>
        </w:rPr>
        <w:t>s</w:t>
      </w:r>
      <w:r w:rsidRPr="00CA64D1">
        <w:rPr>
          <w:rFonts w:asciiTheme="minorBidi" w:hAnsiTheme="minorBidi" w:cs="Times New Roman"/>
          <w:lang w:val="en-US"/>
        </w:rPr>
        <w:t xml:space="preserve"> slightly varied from state to state. Although the availability of toilet facility at the household was the leading factor contributing to the inequality in the use of sanitary napkins, being a rural resident </w:t>
      </w:r>
      <w:r w:rsidR="00A10B73">
        <w:rPr>
          <w:rFonts w:asciiTheme="minorBidi" w:hAnsiTheme="minorBidi" w:cs="Times New Roman"/>
          <w:lang w:val="en-US"/>
        </w:rPr>
        <w:t>was the most important factor</w:t>
      </w:r>
      <w:r w:rsidRPr="00CA64D1">
        <w:rPr>
          <w:rFonts w:asciiTheme="minorBidi" w:hAnsiTheme="minorBidi" w:cs="Times New Roman"/>
          <w:lang w:val="en-US"/>
        </w:rPr>
        <w:t xml:space="preserve"> in Assam and </w:t>
      </w:r>
      <w:r w:rsidR="00E37F6F">
        <w:rPr>
          <w:rFonts w:asciiTheme="minorBidi" w:hAnsiTheme="minorBidi" w:cs="Times New Roman"/>
          <w:lang w:val="en-US"/>
        </w:rPr>
        <w:t xml:space="preserve">less </w:t>
      </w:r>
      <w:r w:rsidRPr="00CA64D1">
        <w:rPr>
          <w:rFonts w:asciiTheme="minorBidi" w:hAnsiTheme="minorBidi" w:cs="Times New Roman"/>
          <w:lang w:val="en-US"/>
        </w:rPr>
        <w:t xml:space="preserve">number of years of schooling in </w:t>
      </w:r>
      <w:r w:rsidR="00E81A05">
        <w:rPr>
          <w:rFonts w:asciiTheme="minorBidi" w:hAnsiTheme="minorBidi" w:cs="Times New Roman"/>
          <w:lang w:val="en-US"/>
        </w:rPr>
        <w:t xml:space="preserve">the </w:t>
      </w:r>
      <w:r w:rsidRPr="00CA64D1">
        <w:rPr>
          <w:rFonts w:asciiTheme="minorBidi" w:hAnsiTheme="minorBidi" w:cs="Times New Roman"/>
          <w:lang w:val="en-US"/>
        </w:rPr>
        <w:t xml:space="preserve">case of Madhya Pradesh, Uttarakhand and Rajasthan. </w:t>
      </w:r>
    </w:p>
    <w:p w14:paraId="6A83B05C" w14:textId="77777777" w:rsidR="00FB1CB9" w:rsidRDefault="00FB1CB9" w:rsidP="00E933F4">
      <w:pPr>
        <w:spacing w:after="0" w:line="240" w:lineRule="auto"/>
        <w:ind w:firstLine="567"/>
        <w:jc w:val="both"/>
        <w:rPr>
          <w:rFonts w:asciiTheme="minorBidi" w:hAnsiTheme="minorBidi" w:cs="Times New Roman"/>
          <w:lang w:val="en-US"/>
        </w:rPr>
      </w:pPr>
    </w:p>
    <w:p w14:paraId="320729C8" w14:textId="510FCDCF" w:rsidR="00E933F4" w:rsidRDefault="00637CA9" w:rsidP="00E933F4">
      <w:pPr>
        <w:spacing w:after="0" w:line="240" w:lineRule="auto"/>
        <w:ind w:firstLine="567"/>
        <w:jc w:val="both"/>
        <w:rPr>
          <w:rFonts w:asciiTheme="minorBidi" w:hAnsiTheme="minorBidi" w:cs="Times New Roman"/>
        </w:rPr>
      </w:pPr>
      <w:r w:rsidRPr="00CA64D1">
        <w:rPr>
          <w:rFonts w:asciiTheme="minorBidi" w:hAnsiTheme="minorBidi" w:cs="Times New Roman"/>
          <w:lang w:val="en-US"/>
        </w:rPr>
        <w:t xml:space="preserve">The Census of India 2011 revealed Chhattisgarh, Bihar and Odisha as some of the states palpably lacking toilet facilities in the household. Congruently, women in these three states have the lowest use of hygienic methods demonstrating a possible relation between having a toilet in the household and the use of hygienic method. </w:t>
      </w:r>
      <w:r w:rsidR="003E601E">
        <w:rPr>
          <w:rFonts w:asciiTheme="minorBidi" w:hAnsiTheme="minorBidi" w:cs="Times New Roman"/>
          <w:lang w:val="en-US"/>
        </w:rPr>
        <w:t xml:space="preserve">Studies have suggested that lack of </w:t>
      </w:r>
      <w:r w:rsidR="00726928">
        <w:rPr>
          <w:rFonts w:asciiTheme="minorBidi" w:hAnsiTheme="minorBidi" w:cs="Times New Roman"/>
          <w:lang w:val="en-US"/>
        </w:rPr>
        <w:t>WASH (</w:t>
      </w:r>
      <w:r w:rsidR="003E601E">
        <w:rPr>
          <w:rFonts w:asciiTheme="minorBidi" w:hAnsiTheme="minorBidi" w:cs="Times New Roman"/>
          <w:lang w:val="en-US"/>
        </w:rPr>
        <w:t>water</w:t>
      </w:r>
      <w:r w:rsidR="00726928">
        <w:rPr>
          <w:rFonts w:asciiTheme="minorBidi" w:hAnsiTheme="minorBidi" w:cs="Times New Roman"/>
          <w:lang w:val="en-US"/>
        </w:rPr>
        <w:t>,</w:t>
      </w:r>
      <w:r w:rsidR="003E601E">
        <w:rPr>
          <w:rFonts w:asciiTheme="minorBidi" w:hAnsiTheme="minorBidi" w:cs="Times New Roman"/>
          <w:lang w:val="en-US"/>
        </w:rPr>
        <w:t xml:space="preserve"> sanitation and hygiene</w:t>
      </w:r>
      <w:r w:rsidR="00726928">
        <w:rPr>
          <w:rFonts w:asciiTheme="minorBidi" w:hAnsiTheme="minorBidi" w:cs="Times New Roman"/>
          <w:lang w:val="en-US"/>
        </w:rPr>
        <w:t>)</w:t>
      </w:r>
      <w:r w:rsidR="003E601E">
        <w:rPr>
          <w:rFonts w:asciiTheme="minorBidi" w:hAnsiTheme="minorBidi" w:cs="Times New Roman"/>
          <w:lang w:val="en-US"/>
        </w:rPr>
        <w:t xml:space="preserve"> facilities in the school was one of </w:t>
      </w:r>
      <w:r w:rsidR="00726928">
        <w:rPr>
          <w:rFonts w:asciiTheme="minorBidi" w:hAnsiTheme="minorBidi" w:cs="Times New Roman"/>
          <w:lang w:val="en-US"/>
        </w:rPr>
        <w:t xml:space="preserve">the </w:t>
      </w:r>
      <w:r w:rsidR="003E601E">
        <w:rPr>
          <w:rFonts w:asciiTheme="minorBidi" w:hAnsiTheme="minorBidi" w:cs="Times New Roman"/>
          <w:lang w:val="en-US"/>
        </w:rPr>
        <w:t xml:space="preserve">main reasons for dropouts among adolescent menstruating girls </w:t>
      </w:r>
      <w:r w:rsidR="002E66D2" w:rsidRPr="00CA64D1">
        <w:rPr>
          <w:rFonts w:asciiTheme="minorBidi" w:hAnsiTheme="minorBidi" w:cs="Times New Roman"/>
          <w:lang w:val="en-US"/>
        </w:rPr>
        <w:t xml:space="preserve">in resource scarce settings </w:t>
      </w:r>
      <w:r w:rsidR="002E66D2" w:rsidRPr="00CA64D1">
        <w:rPr>
          <w:rFonts w:asciiTheme="minorBidi" w:hAnsiTheme="minorBidi" w:cs="Times New Roman"/>
          <w:lang w:val="en-US"/>
        </w:rPr>
        <w:fldChar w:fldCharType="begin" w:fldLock="1"/>
      </w:r>
      <w:r w:rsidR="00C313A9" w:rsidRPr="00CA64D1">
        <w:rPr>
          <w:rFonts w:asciiTheme="minorBidi" w:hAnsiTheme="minorBidi" w:cs="Times New Roman"/>
          <w:lang w:val="en-US"/>
        </w:rPr>
        <w:instrText>ADDIN CSL_CITATION { "citationItems" : [ { "id" : "ITEM-1", "itemData" : { "DOI" : "10.2105/AJPH.2014.302525", "ISSN" : "1541-0048", "PMID" : "25973831", "abstract" : "In recent years, the menstrual hygiene management challenges facing schoolgirls in low-income-country contexts have gained global attention. We applied Gusfield's sociological analysis of the culture of public problems to better understand how this relatively newly recognized public health challenge rose to the level of global public health awareness and action. We similarly applied the conceptualization by Dorfman et al. of the role of public health messaging in changing corporate practice to explore the conceptual frames and the news frames that are being used to shape the perceptions of menstrual hygiene management as an issue of social justice within the context of public health. Important lessons were revealed for getting other public health problems onto the global-, national-, and local-level agendas.", "author" : [ { "dropping-particle" : "", "family" : "Sommer", "given" : "Marni", "non-dropping-particle" : "", "parse-names" : false, "suffix" : "" }, { "dropping-particle" : "", "family" : "Hirsch", "given" : "Jennifer S", "non-dropping-particle" : "", "parse-names" : false, "suffix" : "" }, { "dropping-particle" : "", "family" : "Nathanson", "given" : "Constance", "non-dropping-particle" : "", "parse-names" : false, "suffix" : "" }, { "dropping-particle" : "", "family" : "Parker", "given" : "Richard G", "non-dropping-particle" : "", "parse-names" : false, "suffix" : "" } ], "container-title" : "American journal of public health", "id" : "ITEM-1", "issue" : "7", "issued" : { "date-parts" : [ [ "2015", "7" ] ] }, "page" : "1302-11", "title" : "Comfortably, Safely, and Without Shame: Defining Menstrual Hygiene Management as a Public Health Issue.", "type" : "article-journal", "volume" : "105" }, "uris" : [ "http://www.mendeley.com/documents/?uuid=c9e73084-fd31-43e2-86d8-8f392dc6d709" ] } ], "mendeley" : { "formattedCitation" : "(Marni Sommer et al., 2015)", "plainTextFormattedCitation" : "(Marni Sommer et al., 2015)", "previouslyFormattedCitation" : "(Sommer et al., 2015)" }, "properties" : { "noteIndex" : 0 }, "schema" : "https://github.com/citation-style-language/schema/raw/master/csl-citation.json" }</w:instrText>
      </w:r>
      <w:r w:rsidR="002E66D2" w:rsidRPr="00CA64D1">
        <w:rPr>
          <w:rFonts w:asciiTheme="minorBidi" w:hAnsiTheme="minorBidi" w:cs="Times New Roman"/>
          <w:lang w:val="en-US"/>
        </w:rPr>
        <w:fldChar w:fldCharType="separate"/>
      </w:r>
      <w:r w:rsidR="00992E2D">
        <w:rPr>
          <w:rFonts w:asciiTheme="minorBidi" w:hAnsiTheme="minorBidi" w:cs="Times New Roman"/>
          <w:noProof/>
          <w:lang w:val="en-US"/>
        </w:rPr>
        <w:t>(</w:t>
      </w:r>
      <w:r w:rsidR="003E601E">
        <w:rPr>
          <w:rFonts w:asciiTheme="minorBidi" w:hAnsiTheme="minorBidi" w:cs="Times New Roman"/>
          <w:noProof/>
          <w:lang w:val="en-US"/>
        </w:rPr>
        <w:t xml:space="preserve">Mahon &amp; Fernandes, 2010; Sommer, 2010; </w:t>
      </w:r>
      <w:r w:rsidR="00C313A9" w:rsidRPr="00CA64D1">
        <w:rPr>
          <w:rFonts w:asciiTheme="minorBidi" w:hAnsiTheme="minorBidi" w:cs="Times New Roman"/>
          <w:noProof/>
          <w:lang w:val="en-US"/>
        </w:rPr>
        <w:t>Sommer et al., 2015)</w:t>
      </w:r>
      <w:r w:rsidR="002E66D2" w:rsidRPr="00CA64D1">
        <w:rPr>
          <w:rFonts w:asciiTheme="minorBidi" w:hAnsiTheme="minorBidi" w:cs="Times New Roman"/>
          <w:lang w:val="en-US"/>
        </w:rPr>
        <w:fldChar w:fldCharType="end"/>
      </w:r>
      <w:r w:rsidR="002E66D2" w:rsidRPr="00CA64D1">
        <w:rPr>
          <w:rFonts w:asciiTheme="minorBidi" w:hAnsiTheme="minorBidi" w:cs="Times New Roman"/>
          <w:lang w:val="en-US"/>
        </w:rPr>
        <w:t xml:space="preserve">. </w:t>
      </w:r>
      <w:r w:rsidR="00E933F4">
        <w:rPr>
          <w:rFonts w:asciiTheme="minorBidi" w:hAnsiTheme="minorBidi" w:cs="Times New Roman"/>
          <w:lang w:val="en-US"/>
        </w:rPr>
        <w:t xml:space="preserve">On the other hand, previous studies have also indicated availability and accessibility issues as some of the factors contribute in the use of sanitary napkins. In particular, those who are economically poorer </w:t>
      </w:r>
      <w:r w:rsidR="00E933F4" w:rsidRPr="00D42E39">
        <w:rPr>
          <w:rFonts w:asciiTheme="minorBidi" w:hAnsiTheme="minorBidi" w:cs="Times New Roman"/>
        </w:rPr>
        <w:fldChar w:fldCharType="begin" w:fldLock="1"/>
      </w:r>
      <w:r w:rsidR="00E933F4" w:rsidRPr="00D42E39">
        <w:rPr>
          <w:rFonts w:asciiTheme="minorBidi" w:hAnsiTheme="minorBidi" w:cs="Times New Roman"/>
        </w:rPr>
        <w:instrText>ADDIN CSL_CITATION { "citationItems" : [ { "id" : "ITEM-1", "itemData" : { "DOI" : "10.1007/s10995-011-0798-5", "ISSN" : "1573-6628", "PMID" : "21505773", "abstract" : "The onset of menstruation is one of the most important physiological changes occurring among girls during the adolescent years. Menstruation heralds the onset of physiological maturity in girls. It becomes the part and parcel of their lives until menopause. Apart from personal importance, this phenomenon also has social significance. In India, menstruation is surrounded by myths and misconceptions with a long list of \"do's\" and \"don'ts\" for women. Hygiene-related practices of women during menstruation are of considerable importance, as it may increase vulnerability to Reproductive Tract Infections (RTI's). Poor menstrual hygiene is one of the major reasons for the high prevalence of RTIs in the country and contributes significantly to female morbidity. Most of the adolescent girls in villages use rags and old clothes during menstruation, increasing susceptibility to RTI's. Adolescents constitute one-fifths of India's population and yet their sexual health needs remain largely unaddressed in the national welfare programs. Poor menstrual hygiene in developing countries has been an insufficiently acknowledged problem. In June 2010, the Government of India proposed a new scheme towards menstrual hygiene by a provision of subsidized sanitary napkins to rural adolescent girls. But there are various other issues like awareness, availability and quality of napkins, regular supply, privacy, water supply, disposal of napkins, reproductive health education and family support which needs simultaneous attention for promotion of menstrual hygiene. The current article looks at the issue of menstrual hygiene not only from the health point of view, but also considers social and human rights values attached to it.", "author" : [ { "dropping-particle" : "", "family" : "Garg", "given" : "Rajesh", "non-dropping-particle" : "", "parse-names" : false, "suffix" : "" }, { "dropping-particle" : "", "family" : "Goyal", "given" : "Shobha", "non-dropping-particle" : "", "parse-names" : false, "suffix" : "" }, { "dropping-particle" : "", "family" : "Gupta", "given" : "Sanjeev", "non-dropping-particle" : "", "parse-names" : false, "suffix" : "" } ], "container-title" : "Maternal and child health journal", "id" : "ITEM-1", "issue" : "4", "issued" : { "date-parts" : [ [ "2012", "5" ] ] }, "page" : "767-74", "title" : "India moves towards menstrual hygiene: subsidized sanitary napkins for rural adolescent girls-issues and challenges.", "type" : "article-journal", "volume" : "16" }, "uris" : [ "http://www.mendeley.com/documents/?uuid=aaeae03d-081d-417e-a6c0-255da356a951" ] }, { "id" : "ITEM-2", "itemData" : { "author" : [ { "dropping-particle" : "", "family" : "Anand", "given" : "Enu", "non-dropping-particle" : "", "parse-names" : false, "suffix" : "" }, { "dropping-particle" : "", "family" : "Unisa", "given" : "Sayeed", "non-dropping-particle" : "", "parse-names" : false, "suffix" : "" }, { "dropping-particle" : "", "family" : "Singh", "given" : "Jayakant", "non-dropping-particle" : "", "parse-names" : false, "suffix" : "" } ], "container-title" : "Social Science Spectrum", "id" : "ITEM-2", "issue" : "1", "issued" : { "date-parts" : [ [ "2015" ] ] }, "page" : "20-31", "title" : "Menstrual Hygiene Management among Young Unmarried Women in India", "type" : "article-journal", "volume" : "1" }, "uris" : [ "http://www.mendeley.com/documents/?uuid=7caaf121-3911-4bbb-8102-b8792be3ee1c" ] } ], "mendeley" : { "formattedCitation" : "(Anand, Unisa, et al., 2015; R. Garg, Goyal, &amp; Gupta, 2012)", "plainTextFormattedCitation" : "(Anand, Unisa, et al., 2015; R. Garg, Goyal, &amp; Gupta, 2012)", "previouslyFormattedCitation" : "(Anand et al., 2015b; Garg et al., 2012)" }, "properties" : { "noteIndex" : 0 }, "schema" : "https://github.com/citation-style-language/schema/raw/master/csl-citation.json" }</w:instrText>
      </w:r>
      <w:r w:rsidR="00E933F4" w:rsidRPr="00D42E39">
        <w:rPr>
          <w:rFonts w:asciiTheme="minorBidi" w:hAnsiTheme="minorBidi" w:cs="Times New Roman"/>
        </w:rPr>
        <w:fldChar w:fldCharType="separate"/>
      </w:r>
      <w:r w:rsidR="00E933F4" w:rsidRPr="00D42E39">
        <w:rPr>
          <w:rFonts w:asciiTheme="minorBidi" w:hAnsiTheme="minorBidi" w:cs="Times New Roman"/>
          <w:noProof/>
        </w:rPr>
        <w:t xml:space="preserve">(Anand, Unisa, </w:t>
      </w:r>
      <w:r w:rsidR="00E933F4">
        <w:rPr>
          <w:rFonts w:asciiTheme="minorBidi" w:hAnsiTheme="minorBidi" w:cs="Times New Roman"/>
          <w:noProof/>
        </w:rPr>
        <w:t>&amp; Singh</w:t>
      </w:r>
      <w:r w:rsidR="00E933F4" w:rsidRPr="00D42E39">
        <w:rPr>
          <w:rFonts w:asciiTheme="minorBidi" w:hAnsiTheme="minorBidi" w:cs="Times New Roman"/>
          <w:noProof/>
        </w:rPr>
        <w:t>, 2015</w:t>
      </w:r>
      <w:r w:rsidR="00E933F4">
        <w:rPr>
          <w:rFonts w:asciiTheme="minorBidi" w:hAnsiTheme="minorBidi" w:cs="Times New Roman"/>
          <w:noProof/>
        </w:rPr>
        <w:t>a</w:t>
      </w:r>
      <w:r w:rsidR="00E933F4" w:rsidRPr="00D42E39">
        <w:rPr>
          <w:rFonts w:asciiTheme="minorBidi" w:hAnsiTheme="minorBidi" w:cs="Times New Roman"/>
          <w:noProof/>
        </w:rPr>
        <w:t>; Garg, Goyal, &amp; Gupta, 2012)</w:t>
      </w:r>
      <w:r w:rsidR="00E933F4" w:rsidRPr="00D42E39">
        <w:rPr>
          <w:rFonts w:asciiTheme="minorBidi" w:hAnsiTheme="minorBidi" w:cs="Times New Roman"/>
        </w:rPr>
        <w:fldChar w:fldCharType="end"/>
      </w:r>
      <w:r w:rsidR="00E933F4">
        <w:rPr>
          <w:rFonts w:asciiTheme="minorBidi" w:hAnsiTheme="minorBidi" w:cs="Times New Roman"/>
        </w:rPr>
        <w:t xml:space="preserve"> </w:t>
      </w:r>
      <w:r w:rsidR="00E933F4">
        <w:rPr>
          <w:rFonts w:asciiTheme="minorBidi" w:hAnsiTheme="minorBidi" w:cs="Times New Roman"/>
          <w:lang w:val="en-US"/>
        </w:rPr>
        <w:t xml:space="preserve">and those residing in rural areas were less likely to use sanitary napkins </w:t>
      </w:r>
      <w:r w:rsidR="00E933F4" w:rsidRPr="00D42E39">
        <w:rPr>
          <w:rFonts w:asciiTheme="minorBidi" w:hAnsiTheme="minorBidi" w:cs="Times New Roman"/>
        </w:rPr>
        <w:fldChar w:fldCharType="begin" w:fldLock="1"/>
      </w:r>
      <w:r w:rsidR="00E933F4" w:rsidRPr="00D42E39">
        <w:rPr>
          <w:rFonts w:asciiTheme="minorBidi" w:hAnsiTheme="minorBidi" w:cs="Times New Roman"/>
        </w:rPr>
        <w:instrText>ADDIN CSL_CITATION { "citationItems" : [ { "id" : "ITEM-1", "itemData" : { "ISSN" : "2248-9509", "abstract" : "Context: Adolescence in girls signifies the transition from girlhood to womanhood. Good menstrual hygiene is crucial for the health, education, and dignity of girls and women. This is an important sanitation issue which has long been in the closet and still there is a long standing need to openly discuss it. Aims:  1.  To elicit the knowledge and source of information regarding menstruation among the adolescent girl students.  2.  To find out the practices of menstrual hygiene among them. Settings and Design: Cross-Sectional study conducted in two randomly selected Inter colleges (one rural and one urban) of district Dehradun of Uttarakhand state. Methods and Material: 453 girls studying in 9th to 12th grades were interviewed by using a prestructured and pretested questionnaire. Statistical analysis used: percentages and Chi-square test Results: 64.5 % girls (71.1% Rural and 57% Urban) were aware about menstruation prior to the attainment of menarche. Awareness among rural girls was significantly more as compared to urban girls. Friends were the first informant in about 31.8 % girls. But the correct reason and source of bleeding during menstruation was not known to most of the respondents. Overall 38.4 % adolescent girls (48.1% Rural and 27.6% Urban) were using sanitary napkins as menstrual absorbent, while 30 % were using a new cloth/rag every time.  Conclusions: There is a need to educate the girls about menstruation, its importance and hygiene maintenance; so as to enable them to lead a healthy reproductive life in future.", "author" : [ { "dropping-particle" : "", "family" : "Juyal", "given" : "Ruchi", "non-dropping-particle" : "", "parse-names" : false, "suffix" : "" }, { "dropping-particle" : "", "family" : "Kandpal", "given" : "S D", "non-dropping-particle" : "", "parse-names" : false, "suffix" : "" }, { "dropping-particle" : "", "family" : "Semwal", "given" : "Jayanti", "non-dropping-particle" : "", "parse-names" : false, "suffix" : "" }, { "dropping-particle" : "", "family" : "Negi", "given" : "K S", "non-dropping-particle" : "", "parse-names" : false, "suffix" : "" } ], "container-title" : "Indian Journal of Community Health", "id" : "ITEM-1", "issue" : "2", "issued" : { "date-parts" : [ [ "2012", "7", "19" ] ] }, "language" : "en", "page" : "124-128", "title" : "PRACTICES OF MENSTRUAL HYGIENE AMONG ADOLESCENT GIRLS IN A DISTRICT OF UTTARAKHAND", "type" : "article", "volume" : "24" }, "uris" : [ "http://www.mendeley.com/documents/?uuid=92fa49a2-3428-4b03-8330-79f590b3653b" ] } ], "mendeley" : { "formattedCitation" : "(Ruchi Juyal et al., 2012)", "plainTextFormattedCitation" : "(Ruchi Juyal et al., 2012)", "previouslyFormattedCitation" : "(Juyal et al., 2012)" }, "properties" : { "noteIndex" : 0 }, "schema" : "https://github.com/citation-style-language/schema/raw/master/csl-citation.json" }</w:instrText>
      </w:r>
      <w:r w:rsidR="00E933F4" w:rsidRPr="00D42E39">
        <w:rPr>
          <w:rFonts w:asciiTheme="minorBidi" w:hAnsiTheme="minorBidi" w:cs="Times New Roman"/>
        </w:rPr>
        <w:fldChar w:fldCharType="separate"/>
      </w:r>
      <w:r w:rsidR="00E933F4" w:rsidRPr="00D42E39">
        <w:rPr>
          <w:rFonts w:asciiTheme="minorBidi" w:hAnsiTheme="minorBidi" w:cs="Times New Roman"/>
          <w:noProof/>
        </w:rPr>
        <w:t>(Juyal et al., 2012)</w:t>
      </w:r>
      <w:r w:rsidR="00E933F4" w:rsidRPr="00D42E39">
        <w:rPr>
          <w:rFonts w:asciiTheme="minorBidi" w:hAnsiTheme="minorBidi" w:cs="Times New Roman"/>
        </w:rPr>
        <w:fldChar w:fldCharType="end"/>
      </w:r>
      <w:r w:rsidR="00E933F4">
        <w:rPr>
          <w:rFonts w:asciiTheme="minorBidi" w:hAnsiTheme="minorBidi" w:cs="Times New Roman"/>
          <w:lang w:val="en-US"/>
        </w:rPr>
        <w:t xml:space="preserve">. </w:t>
      </w:r>
      <w:r w:rsidR="00E37F6F">
        <w:rPr>
          <w:rFonts w:asciiTheme="minorBidi" w:hAnsiTheme="minorBidi" w:cs="Times New Roman"/>
          <w:lang w:val="en-US"/>
        </w:rPr>
        <w:t>Similarly</w:t>
      </w:r>
      <w:r w:rsidR="00E933F4">
        <w:rPr>
          <w:rFonts w:asciiTheme="minorBidi" w:hAnsiTheme="minorBidi" w:cs="Times New Roman"/>
          <w:lang w:val="en-US"/>
        </w:rPr>
        <w:t xml:space="preserve">, </w:t>
      </w:r>
      <w:r w:rsidR="00E933F4">
        <w:rPr>
          <w:rFonts w:asciiTheme="minorBidi" w:hAnsiTheme="minorBidi" w:cs="Times New Roman"/>
          <w:lang w:val="en-US"/>
        </w:rPr>
        <w:lastRenderedPageBreak/>
        <w:t xml:space="preserve">girls from urban area were better educated about </w:t>
      </w:r>
      <w:r w:rsidR="002E66D2" w:rsidRPr="00CA64D1">
        <w:rPr>
          <w:rFonts w:asciiTheme="minorBidi" w:hAnsiTheme="minorBidi" w:cs="Times New Roman"/>
          <w:lang w:val="en-US"/>
        </w:rPr>
        <w:t xml:space="preserve">MHM </w:t>
      </w:r>
      <w:r w:rsidR="00E933F4">
        <w:rPr>
          <w:rFonts w:asciiTheme="minorBidi" w:hAnsiTheme="minorBidi" w:cs="Times New Roman"/>
          <w:lang w:val="en-US"/>
        </w:rPr>
        <w:t>and</w:t>
      </w:r>
      <w:r w:rsidR="003F246F">
        <w:rPr>
          <w:rFonts w:asciiTheme="minorBidi" w:hAnsiTheme="minorBidi" w:cs="Times New Roman"/>
          <w:lang w:val="en-US"/>
        </w:rPr>
        <w:t>,</w:t>
      </w:r>
      <w:r w:rsidR="00E933F4">
        <w:rPr>
          <w:rFonts w:asciiTheme="minorBidi" w:hAnsiTheme="minorBidi" w:cs="Times New Roman"/>
          <w:lang w:val="en-US"/>
        </w:rPr>
        <w:t xml:space="preserve"> therefore</w:t>
      </w:r>
      <w:r w:rsidR="003F246F">
        <w:rPr>
          <w:rFonts w:asciiTheme="minorBidi" w:hAnsiTheme="minorBidi" w:cs="Times New Roman"/>
          <w:lang w:val="en-US"/>
        </w:rPr>
        <w:t>,</w:t>
      </w:r>
      <w:r w:rsidR="00E933F4">
        <w:rPr>
          <w:rFonts w:asciiTheme="minorBidi" w:hAnsiTheme="minorBidi" w:cs="Times New Roman"/>
          <w:lang w:val="en-US"/>
        </w:rPr>
        <w:t xml:space="preserve"> were more likely to use </w:t>
      </w:r>
      <w:r w:rsidR="003F246F">
        <w:rPr>
          <w:rFonts w:asciiTheme="minorBidi" w:hAnsiTheme="minorBidi" w:cs="Times New Roman"/>
          <w:lang w:val="en-US"/>
        </w:rPr>
        <w:t>them</w:t>
      </w:r>
      <w:r w:rsidR="00BC36F7">
        <w:rPr>
          <w:rFonts w:asciiTheme="minorBidi" w:hAnsiTheme="minorBidi" w:cs="Times New Roman"/>
          <w:lang w:val="en-US"/>
        </w:rPr>
        <w:t xml:space="preserve"> </w:t>
      </w:r>
      <w:r w:rsidR="00E933F4" w:rsidRPr="00293394">
        <w:rPr>
          <w:rFonts w:asciiTheme="minorBidi" w:hAnsiTheme="minorBidi" w:cs="Times New Roman"/>
        </w:rPr>
        <w:fldChar w:fldCharType="begin" w:fldLock="1"/>
      </w:r>
      <w:r w:rsidR="00E933F4" w:rsidRPr="00293394">
        <w:rPr>
          <w:rFonts w:asciiTheme="minorBidi" w:hAnsiTheme="minorBidi" w:cs="Times New Roman"/>
        </w:rPr>
        <w:instrText>ADDIN CSL_CITATION { "citationItems" : [ { "id" : "ITEM-1", "itemData" : { "author" : [ { "dropping-particle" : "", "family" : "Rupali Patle", "given" : "Sanjay Kubde", "non-dropping-particle" : "", "parse-names" : false, "suffix" : "" } ], "container-title" : "International Journal of Medical Science and Public Health", "id" : "ITEM-1", "issue" : "2", "issued" : { "date-parts" : [ [ "2014" ] ] }, "page" : "129-132", "title" : "Comparative study on menstrual hygiene in rural and urban adolescent girls", "type" : "article-journal", "volume" : "3" }, "uris" : [ "http://www.mendeley.com/documents/?uuid=a66b119f-fe30-427a-a4a0-e6cf75fea90b" ] } ], "mendeley" : { "formattedCitation" : "(Rupali Patle, 2014)", "plainTextFormattedCitation" : "(Rupali Patle, 2014)", "previouslyFormattedCitation" : "(Patle and Kubde, 2014)" }, "properties" : { "noteIndex" : 0 }, "schema" : "https://github.com/citation-style-language/schema/raw/master/csl-citation.json" }</w:instrText>
      </w:r>
      <w:r w:rsidR="00E933F4" w:rsidRPr="00293394">
        <w:rPr>
          <w:rFonts w:asciiTheme="minorBidi" w:hAnsiTheme="minorBidi" w:cs="Times New Roman"/>
        </w:rPr>
        <w:fldChar w:fldCharType="separate"/>
      </w:r>
      <w:r w:rsidR="00E933F4" w:rsidRPr="00293394">
        <w:rPr>
          <w:rFonts w:asciiTheme="minorBidi" w:hAnsiTheme="minorBidi" w:cs="Times New Roman"/>
          <w:noProof/>
        </w:rPr>
        <w:t>(Patle &amp; Kubde, 2014)</w:t>
      </w:r>
      <w:r w:rsidR="00E933F4" w:rsidRPr="00293394">
        <w:rPr>
          <w:rFonts w:asciiTheme="minorBidi" w:hAnsiTheme="minorBidi" w:cs="Times New Roman"/>
        </w:rPr>
        <w:fldChar w:fldCharType="end"/>
      </w:r>
      <w:r w:rsidR="00E933F4">
        <w:rPr>
          <w:rFonts w:asciiTheme="minorBidi" w:hAnsiTheme="minorBidi" w:cs="Times New Roman"/>
        </w:rPr>
        <w:t xml:space="preserve">. </w:t>
      </w:r>
      <w:r w:rsidR="00E933F4" w:rsidRPr="00CA64D1">
        <w:rPr>
          <w:rFonts w:asciiTheme="minorBidi" w:hAnsiTheme="minorBidi" w:cs="Times New Roman"/>
          <w:lang w:val="en-US"/>
        </w:rPr>
        <w:t xml:space="preserve">While this paper complements the existing literature on the major determining factors in the use of sanitary napkins among the unmarried young women, </w:t>
      </w:r>
      <w:r w:rsidR="00E933F4">
        <w:rPr>
          <w:rFonts w:asciiTheme="minorBidi" w:hAnsiTheme="minorBidi" w:cs="Times New Roman"/>
          <w:lang w:val="en-US"/>
        </w:rPr>
        <w:t xml:space="preserve">it also provides percentage </w:t>
      </w:r>
      <w:r w:rsidR="00E933F4" w:rsidRPr="00CA64D1">
        <w:rPr>
          <w:rFonts w:asciiTheme="minorBidi" w:hAnsiTheme="minorBidi" w:cs="Times New Roman"/>
          <w:lang w:val="en-US"/>
        </w:rPr>
        <w:t xml:space="preserve">contribution of each of these factors in resource constraints settings in order that health planners are better informed for designing </w:t>
      </w:r>
      <w:r w:rsidR="00E933F4">
        <w:rPr>
          <w:rFonts w:asciiTheme="minorBidi" w:hAnsiTheme="minorBidi" w:cs="Times New Roman"/>
          <w:lang w:val="en-US"/>
        </w:rPr>
        <w:t>adequate health</w:t>
      </w:r>
      <w:r w:rsidR="00A141F2">
        <w:rPr>
          <w:rFonts w:asciiTheme="minorBidi" w:hAnsiTheme="minorBidi" w:cs="Times New Roman"/>
          <w:lang w:val="en-US"/>
        </w:rPr>
        <w:t xml:space="preserve"> and development</w:t>
      </w:r>
      <w:r w:rsidR="00E933F4">
        <w:rPr>
          <w:rFonts w:asciiTheme="minorBidi" w:hAnsiTheme="minorBidi" w:cs="Times New Roman"/>
          <w:lang w:val="en-US"/>
        </w:rPr>
        <w:t xml:space="preserve"> </w:t>
      </w:r>
      <w:r w:rsidR="00E933F4" w:rsidRPr="00CA64D1">
        <w:rPr>
          <w:rFonts w:asciiTheme="minorBidi" w:hAnsiTheme="minorBidi" w:cs="Times New Roman"/>
          <w:lang w:val="en-US"/>
        </w:rPr>
        <w:t>intervention.</w:t>
      </w:r>
    </w:p>
    <w:p w14:paraId="2310E357" w14:textId="77777777" w:rsidR="00CA64D1" w:rsidRDefault="00CA64D1" w:rsidP="00CA64D1">
      <w:pPr>
        <w:spacing w:after="0" w:line="240" w:lineRule="auto"/>
        <w:ind w:firstLine="567"/>
        <w:jc w:val="both"/>
        <w:rPr>
          <w:rFonts w:asciiTheme="minorBidi" w:hAnsiTheme="minorBidi" w:cs="Times New Roman"/>
          <w:lang w:val="en-US"/>
        </w:rPr>
      </w:pPr>
    </w:p>
    <w:p w14:paraId="0A6FD716" w14:textId="50D468E9" w:rsidR="002E66D2" w:rsidRPr="00CA64D1" w:rsidRDefault="002E66D2" w:rsidP="00CA64D1">
      <w:pPr>
        <w:spacing w:after="0" w:line="240" w:lineRule="auto"/>
        <w:ind w:firstLine="567"/>
        <w:jc w:val="both"/>
        <w:rPr>
          <w:rFonts w:asciiTheme="minorBidi" w:hAnsiTheme="minorBidi" w:cs="Times New Roman"/>
          <w:lang w:val="en-US"/>
        </w:rPr>
      </w:pPr>
      <w:r w:rsidRPr="00CA64D1">
        <w:rPr>
          <w:rFonts w:asciiTheme="minorBidi" w:hAnsiTheme="minorBidi" w:cs="Times New Roman"/>
          <w:lang w:val="en-US"/>
        </w:rPr>
        <w:t xml:space="preserve">Whereas the findings of the study augmented the earlier research and advanced the understanding </w:t>
      </w:r>
      <w:r w:rsidR="009B1AF2">
        <w:rPr>
          <w:rFonts w:asciiTheme="minorBidi" w:hAnsiTheme="minorBidi" w:cs="Times New Roman"/>
          <w:lang w:val="en-US"/>
        </w:rPr>
        <w:t>in</w:t>
      </w:r>
      <w:r w:rsidRPr="00CA64D1">
        <w:rPr>
          <w:rFonts w:asciiTheme="minorBidi" w:hAnsiTheme="minorBidi" w:cs="Times New Roman"/>
          <w:lang w:val="en-US"/>
        </w:rPr>
        <w:t xml:space="preserve"> the socio-economic inequality in the use of sanitary napkins during menstruation, the results must be interpreted with caution. Often the girls in low-income </w:t>
      </w:r>
      <w:r w:rsidR="00E37F6F">
        <w:rPr>
          <w:rFonts w:asciiTheme="minorBidi" w:hAnsiTheme="minorBidi" w:cs="Times New Roman"/>
          <w:lang w:val="en-US"/>
        </w:rPr>
        <w:t>settings</w:t>
      </w:r>
      <w:r w:rsidRPr="00CA64D1">
        <w:rPr>
          <w:rFonts w:asciiTheme="minorBidi" w:hAnsiTheme="minorBidi" w:cs="Times New Roman"/>
          <w:lang w:val="en-US"/>
        </w:rPr>
        <w:t xml:space="preserve"> use a mix of both sanitary napkins and clothes</w:t>
      </w:r>
      <w:r w:rsidR="00E37F6F">
        <w:rPr>
          <w:rFonts w:asciiTheme="minorBidi" w:hAnsiTheme="minorBidi" w:cs="Times New Roman"/>
          <w:lang w:val="en-US"/>
        </w:rPr>
        <w:t>. However,</w:t>
      </w:r>
      <w:r w:rsidRPr="00CA64D1">
        <w:rPr>
          <w:rFonts w:asciiTheme="minorBidi" w:hAnsiTheme="minorBidi" w:cs="Times New Roman"/>
          <w:lang w:val="en-US"/>
        </w:rPr>
        <w:t xml:space="preserve"> we categorized those who used sanitary napkins alone as using hygienic method and those </w:t>
      </w:r>
      <w:r w:rsidR="003F246F">
        <w:rPr>
          <w:rFonts w:asciiTheme="minorBidi" w:hAnsiTheme="minorBidi" w:cs="Times New Roman"/>
          <w:lang w:val="en-US"/>
        </w:rPr>
        <w:t xml:space="preserve">who </w:t>
      </w:r>
      <w:r w:rsidRPr="00CA64D1">
        <w:rPr>
          <w:rFonts w:asciiTheme="minorBidi" w:hAnsiTheme="minorBidi" w:cs="Times New Roman"/>
          <w:lang w:val="en-US"/>
        </w:rPr>
        <w:t>used both sanitary napkin</w:t>
      </w:r>
      <w:r w:rsidR="003F246F">
        <w:rPr>
          <w:rFonts w:asciiTheme="minorBidi" w:hAnsiTheme="minorBidi" w:cs="Times New Roman"/>
          <w:lang w:val="en-US"/>
        </w:rPr>
        <w:t>s</w:t>
      </w:r>
      <w:r w:rsidRPr="00CA64D1">
        <w:rPr>
          <w:rFonts w:asciiTheme="minorBidi" w:hAnsiTheme="minorBidi" w:cs="Times New Roman"/>
          <w:lang w:val="en-US"/>
        </w:rPr>
        <w:t xml:space="preserve"> and clothes as not using hygienic method. The users of both clothes and sanitary napkin</w:t>
      </w:r>
      <w:r w:rsidR="003F246F">
        <w:rPr>
          <w:rFonts w:asciiTheme="minorBidi" w:hAnsiTheme="minorBidi" w:cs="Times New Roman"/>
          <w:lang w:val="en-US"/>
        </w:rPr>
        <w:t>s</w:t>
      </w:r>
      <w:r w:rsidRPr="00CA64D1">
        <w:rPr>
          <w:rFonts w:asciiTheme="minorBidi" w:hAnsiTheme="minorBidi" w:cs="Times New Roman"/>
          <w:lang w:val="en-US"/>
        </w:rPr>
        <w:t xml:space="preserve"> may be from </w:t>
      </w:r>
      <w:r w:rsidR="00E37F6F">
        <w:rPr>
          <w:rFonts w:asciiTheme="minorBidi" w:hAnsiTheme="minorBidi" w:cs="Times New Roman"/>
          <w:lang w:val="en-US"/>
        </w:rPr>
        <w:t>a</w:t>
      </w:r>
      <w:r w:rsidRPr="00CA64D1">
        <w:rPr>
          <w:rFonts w:asciiTheme="minorBidi" w:hAnsiTheme="minorBidi" w:cs="Times New Roman"/>
          <w:lang w:val="en-US"/>
        </w:rPr>
        <w:t xml:space="preserve"> varied socio-economic background. Research on the users of both methods may be useful in understanding MHM among them. </w:t>
      </w:r>
      <w:r w:rsidR="00E37F6F">
        <w:rPr>
          <w:rFonts w:asciiTheme="minorBidi" w:hAnsiTheme="minorBidi" w:cs="Times New Roman"/>
          <w:lang w:val="en-US"/>
        </w:rPr>
        <w:t>Moreover, t</w:t>
      </w:r>
      <w:r w:rsidRPr="00CA64D1">
        <w:rPr>
          <w:rFonts w:asciiTheme="minorBidi" w:hAnsiTheme="minorBidi" w:cs="Times New Roman"/>
          <w:lang w:val="en-US"/>
        </w:rPr>
        <w:t>here may have been different results observed had they</w:t>
      </w:r>
      <w:r w:rsidR="00E37F6F">
        <w:rPr>
          <w:rFonts w:asciiTheme="minorBidi" w:hAnsiTheme="minorBidi" w:cs="Times New Roman"/>
          <w:lang w:val="en-US"/>
        </w:rPr>
        <w:t xml:space="preserve"> (those using both clothes and sanitary napkin</w:t>
      </w:r>
      <w:r w:rsidR="003F246F">
        <w:rPr>
          <w:rFonts w:asciiTheme="minorBidi" w:hAnsiTheme="minorBidi" w:cs="Times New Roman"/>
          <w:lang w:val="en-US"/>
        </w:rPr>
        <w:t>s</w:t>
      </w:r>
      <w:r w:rsidR="00E37F6F">
        <w:rPr>
          <w:rFonts w:asciiTheme="minorBidi" w:hAnsiTheme="minorBidi" w:cs="Times New Roman"/>
          <w:lang w:val="en-US"/>
        </w:rPr>
        <w:t>)</w:t>
      </w:r>
      <w:r w:rsidRPr="00CA64D1">
        <w:rPr>
          <w:rFonts w:asciiTheme="minorBidi" w:hAnsiTheme="minorBidi" w:cs="Times New Roman"/>
          <w:lang w:val="en-US"/>
        </w:rPr>
        <w:t xml:space="preserve"> been categorized as using sanitary napkins. Secondly, those using clothes may not necessarily be vulnerable to adverse health outcome if the cloth is properly washed with disinfected solution and dried in the sunlight. However, the survey data did not provide information on how the clothes were washed</w:t>
      </w:r>
      <w:r w:rsidR="00E37F6F">
        <w:rPr>
          <w:rFonts w:asciiTheme="minorBidi" w:hAnsiTheme="minorBidi" w:cs="Times New Roman"/>
          <w:lang w:val="en-US"/>
        </w:rPr>
        <w:t>,</w:t>
      </w:r>
      <w:r w:rsidRPr="00CA64D1">
        <w:rPr>
          <w:rFonts w:asciiTheme="minorBidi" w:hAnsiTheme="minorBidi" w:cs="Times New Roman"/>
          <w:lang w:val="en-US"/>
        </w:rPr>
        <w:t xml:space="preserve"> </w:t>
      </w:r>
      <w:r w:rsidR="00E37F6F">
        <w:rPr>
          <w:rFonts w:asciiTheme="minorBidi" w:hAnsiTheme="minorBidi" w:cs="Times New Roman"/>
          <w:lang w:val="en-US"/>
        </w:rPr>
        <w:t>nor</w:t>
      </w:r>
      <w:r w:rsidRPr="00CA64D1">
        <w:rPr>
          <w:rFonts w:asciiTheme="minorBidi" w:hAnsiTheme="minorBidi" w:cs="Times New Roman"/>
          <w:lang w:val="en-US"/>
        </w:rPr>
        <w:t xml:space="preserve"> the number of times the gi</w:t>
      </w:r>
      <w:r w:rsidR="00E37F6F">
        <w:rPr>
          <w:rFonts w:asciiTheme="minorBidi" w:hAnsiTheme="minorBidi" w:cs="Times New Roman"/>
          <w:lang w:val="en-US"/>
        </w:rPr>
        <w:t>rls changed menstrual absorbent</w:t>
      </w:r>
      <w:r w:rsidRPr="00CA64D1">
        <w:rPr>
          <w:rFonts w:asciiTheme="minorBidi" w:hAnsiTheme="minorBidi" w:cs="Times New Roman"/>
          <w:lang w:val="en-US"/>
        </w:rPr>
        <w:t>. Therefore, we categorized the use of both sanitary napkins and clothes simultaneously as not using hygienic method. Thirdly, the inequality in the use of sanitary napkins may vary in different cultural context</w:t>
      </w:r>
      <w:r w:rsidR="003F246F">
        <w:rPr>
          <w:rFonts w:asciiTheme="minorBidi" w:hAnsiTheme="minorBidi" w:cs="Times New Roman"/>
          <w:lang w:val="en-US"/>
        </w:rPr>
        <w:t>s</w:t>
      </w:r>
      <w:r w:rsidRPr="00CA64D1">
        <w:rPr>
          <w:rFonts w:asciiTheme="minorBidi" w:hAnsiTheme="minorBidi" w:cs="Times New Roman"/>
          <w:lang w:val="en-US"/>
        </w:rPr>
        <w:t>. This paper fails to address the inequality by cultural differences. In-depth qualitative exploration may be useful to understand the determinants of the use of sanitary napkins</w:t>
      </w:r>
      <w:r w:rsidR="003F246F">
        <w:rPr>
          <w:rFonts w:asciiTheme="minorBidi" w:hAnsiTheme="minorBidi" w:cs="Times New Roman"/>
          <w:lang w:val="en-US"/>
        </w:rPr>
        <w:t>,</w:t>
      </w:r>
      <w:r w:rsidRPr="00CA64D1">
        <w:rPr>
          <w:rFonts w:asciiTheme="minorBidi" w:hAnsiTheme="minorBidi" w:cs="Times New Roman"/>
          <w:lang w:val="en-US"/>
        </w:rPr>
        <w:t xml:space="preserve"> apart from the ones experimented in this study- it would help in understating the unexplained residuals in the model. Lastly, the findings of the study pertain to unmarried young women and hence cannot be generalized to other group</w:t>
      </w:r>
      <w:r w:rsidR="003F246F">
        <w:rPr>
          <w:rFonts w:asciiTheme="minorBidi" w:hAnsiTheme="minorBidi" w:cs="Times New Roman"/>
          <w:lang w:val="en-US"/>
        </w:rPr>
        <w:t>s</w:t>
      </w:r>
      <w:r w:rsidRPr="00CA64D1">
        <w:rPr>
          <w:rFonts w:asciiTheme="minorBidi" w:hAnsiTheme="minorBidi" w:cs="Times New Roman"/>
          <w:lang w:val="en-US"/>
        </w:rPr>
        <w:t xml:space="preserve"> of women. </w:t>
      </w:r>
    </w:p>
    <w:p w14:paraId="25841672" w14:textId="77777777" w:rsidR="00CA64D1" w:rsidRDefault="00CA64D1" w:rsidP="00CA64D1">
      <w:pPr>
        <w:spacing w:after="0" w:line="240" w:lineRule="auto"/>
        <w:ind w:firstLine="567"/>
        <w:jc w:val="both"/>
        <w:rPr>
          <w:rFonts w:asciiTheme="minorBidi" w:hAnsiTheme="minorBidi" w:cs="Times New Roman"/>
          <w:lang w:val="en-US"/>
        </w:rPr>
      </w:pPr>
    </w:p>
    <w:p w14:paraId="7F9B15E5" w14:textId="3C02D4C9" w:rsidR="002E66D2" w:rsidRPr="00CA64D1" w:rsidRDefault="00A141F2" w:rsidP="00CA64D1">
      <w:pPr>
        <w:spacing w:after="0" w:line="240" w:lineRule="auto"/>
        <w:ind w:firstLine="567"/>
        <w:jc w:val="both"/>
        <w:rPr>
          <w:rFonts w:asciiTheme="minorBidi" w:hAnsiTheme="minorBidi" w:cs="Times New Roman"/>
          <w:lang w:val="en-US"/>
        </w:rPr>
      </w:pPr>
      <w:r>
        <w:rPr>
          <w:rFonts w:asciiTheme="minorBidi" w:hAnsiTheme="minorBidi" w:cs="Times New Roman"/>
          <w:lang w:val="en-US"/>
        </w:rPr>
        <w:t xml:space="preserve">MHM </w:t>
      </w:r>
      <w:r w:rsidRPr="00CA64D1">
        <w:rPr>
          <w:rFonts w:asciiTheme="minorBidi" w:hAnsiTheme="minorBidi" w:cs="Times New Roman"/>
          <w:lang w:val="en-US"/>
        </w:rPr>
        <w:t xml:space="preserve">is a global public health concern with strong linkages to the sustainable development goals number three (good health and wellbeing), four (quality education), five (gender equality), and six (clean water and sanitation). </w:t>
      </w:r>
      <w:r>
        <w:rPr>
          <w:rFonts w:asciiTheme="minorBidi" w:hAnsiTheme="minorBidi" w:cs="Times New Roman"/>
          <w:lang w:val="en-US"/>
        </w:rPr>
        <w:t xml:space="preserve">However, MHM remains a neglected priority in most of the resource poor settings such as India. </w:t>
      </w:r>
      <w:r w:rsidR="002E66D2" w:rsidRPr="00CA64D1">
        <w:rPr>
          <w:rFonts w:asciiTheme="minorBidi" w:hAnsiTheme="minorBidi" w:cs="Times New Roman"/>
          <w:lang w:val="en-US"/>
        </w:rPr>
        <w:t>The provision of providing subsidi</w:t>
      </w:r>
      <w:r w:rsidR="00992E2D">
        <w:rPr>
          <w:rFonts w:asciiTheme="minorBidi" w:hAnsiTheme="minorBidi" w:cs="Times New Roman"/>
          <w:lang w:val="en-US"/>
        </w:rPr>
        <w:t>s</w:t>
      </w:r>
      <w:r w:rsidR="002E66D2" w:rsidRPr="00CA64D1">
        <w:rPr>
          <w:rFonts w:asciiTheme="minorBidi" w:hAnsiTheme="minorBidi" w:cs="Times New Roman"/>
          <w:lang w:val="en-US"/>
        </w:rPr>
        <w:t xml:space="preserve">ed sanitary napkins under the scheme </w:t>
      </w:r>
      <w:r w:rsidR="002E66D2" w:rsidRPr="0045695D">
        <w:rPr>
          <w:rFonts w:asciiTheme="minorBidi" w:hAnsiTheme="minorBidi" w:cs="Times New Roman"/>
          <w:i/>
          <w:lang w:val="en-US"/>
        </w:rPr>
        <w:t>Rashtriya Kishor Swasthya Karyakram</w:t>
      </w:r>
      <w:r w:rsidR="002E66D2" w:rsidRPr="00CA64D1">
        <w:rPr>
          <w:rFonts w:asciiTheme="minorBidi" w:hAnsiTheme="minorBidi" w:cs="Times New Roman"/>
          <w:lang w:val="en-US"/>
        </w:rPr>
        <w:t xml:space="preserve"> in India is a welcome step. However, without addressing the provision of toilet facility at the household level, it is </w:t>
      </w:r>
      <w:r w:rsidR="003F246F">
        <w:rPr>
          <w:rFonts w:asciiTheme="minorBidi" w:hAnsiTheme="minorBidi" w:cs="Times New Roman"/>
          <w:lang w:val="en-US"/>
        </w:rPr>
        <w:t xml:space="preserve">not </w:t>
      </w:r>
      <w:r w:rsidR="002E66D2" w:rsidRPr="00CA64D1">
        <w:rPr>
          <w:rFonts w:asciiTheme="minorBidi" w:hAnsiTheme="minorBidi" w:cs="Times New Roman"/>
          <w:lang w:val="en-US"/>
        </w:rPr>
        <w:t xml:space="preserve">likely to </w:t>
      </w:r>
      <w:r>
        <w:rPr>
          <w:rFonts w:asciiTheme="minorBidi" w:hAnsiTheme="minorBidi" w:cs="Times New Roman"/>
          <w:lang w:val="en-US"/>
        </w:rPr>
        <w:t>deliver the desired outcome</w:t>
      </w:r>
      <w:r w:rsidR="002E66D2" w:rsidRPr="00CA64D1">
        <w:rPr>
          <w:rFonts w:asciiTheme="minorBidi" w:hAnsiTheme="minorBidi" w:cs="Times New Roman"/>
          <w:lang w:val="en-US"/>
        </w:rPr>
        <w:t xml:space="preserve">. </w:t>
      </w:r>
      <w:r>
        <w:rPr>
          <w:rFonts w:asciiTheme="minorBidi" w:hAnsiTheme="minorBidi" w:cs="Times New Roman"/>
          <w:lang w:val="en-US"/>
        </w:rPr>
        <w:t>This study</w:t>
      </w:r>
      <w:r w:rsidR="002E66D2" w:rsidRPr="00CA64D1">
        <w:rPr>
          <w:rFonts w:asciiTheme="minorBidi" w:hAnsiTheme="minorBidi" w:cs="Times New Roman"/>
          <w:lang w:val="en-US"/>
        </w:rPr>
        <w:t xml:space="preserve"> calls for a reconsideration </w:t>
      </w:r>
      <w:r>
        <w:rPr>
          <w:rFonts w:asciiTheme="minorBidi" w:hAnsiTheme="minorBidi" w:cs="Times New Roman"/>
          <w:lang w:val="en-US"/>
        </w:rPr>
        <w:t>in</w:t>
      </w:r>
      <w:r w:rsidR="002E66D2" w:rsidRPr="00CA64D1">
        <w:rPr>
          <w:rFonts w:asciiTheme="minorBidi" w:hAnsiTheme="minorBidi" w:cs="Times New Roman"/>
          <w:lang w:val="en-US"/>
        </w:rPr>
        <w:t xml:space="preserve"> design</w:t>
      </w:r>
      <w:r>
        <w:rPr>
          <w:rFonts w:asciiTheme="minorBidi" w:hAnsiTheme="minorBidi" w:cs="Times New Roman"/>
          <w:lang w:val="en-US"/>
        </w:rPr>
        <w:t>ing</w:t>
      </w:r>
      <w:r w:rsidR="002E66D2" w:rsidRPr="00CA64D1">
        <w:rPr>
          <w:rFonts w:asciiTheme="minorBidi" w:hAnsiTheme="minorBidi" w:cs="Times New Roman"/>
          <w:lang w:val="en-US"/>
        </w:rPr>
        <w:t xml:space="preserve"> menstrual health interventions taking into account the necessity of the basic public health components such as water and sanitation facility at the household level. Toilets with running water facility ensure two critical aspects of menstrual hygiene management. </w:t>
      </w:r>
      <w:r w:rsidR="003F246F">
        <w:rPr>
          <w:rFonts w:asciiTheme="minorBidi" w:hAnsiTheme="minorBidi" w:cs="Times New Roman"/>
          <w:lang w:val="en-US"/>
        </w:rPr>
        <w:t>P</w:t>
      </w:r>
      <w:r w:rsidR="002E66D2" w:rsidRPr="00CA64D1">
        <w:rPr>
          <w:rFonts w:asciiTheme="minorBidi" w:hAnsiTheme="minorBidi" w:cs="Times New Roman"/>
          <w:lang w:val="en-US"/>
        </w:rPr>
        <w:t xml:space="preserve">rivacy in the toilet reassures a girl that she is not being watched by others while she is wearing or changing a sanitary napkin </w:t>
      </w:r>
      <w:r w:rsidR="00E37F6F">
        <w:rPr>
          <w:rFonts w:asciiTheme="minorBidi" w:hAnsiTheme="minorBidi" w:cs="Times New Roman"/>
          <w:lang w:val="en-US"/>
        </w:rPr>
        <w:t>or a piece of cloth</w:t>
      </w:r>
      <w:r w:rsidR="003F246F">
        <w:rPr>
          <w:rFonts w:asciiTheme="minorBidi" w:hAnsiTheme="minorBidi" w:cs="Times New Roman"/>
          <w:lang w:val="en-US"/>
        </w:rPr>
        <w:t>,</w:t>
      </w:r>
      <w:r w:rsidR="00E37F6F">
        <w:rPr>
          <w:rFonts w:asciiTheme="minorBidi" w:hAnsiTheme="minorBidi" w:cs="Times New Roman"/>
          <w:lang w:val="en-US"/>
        </w:rPr>
        <w:t xml:space="preserve"> </w:t>
      </w:r>
      <w:r w:rsidR="002E66D2" w:rsidRPr="00CA64D1">
        <w:rPr>
          <w:rFonts w:asciiTheme="minorBidi" w:hAnsiTheme="minorBidi" w:cs="Times New Roman"/>
          <w:lang w:val="en-US"/>
        </w:rPr>
        <w:t xml:space="preserve">and hence eliminating all possible apprehension of shame and stigma. Second, she will be able to wash the blood stains and clean her genitalia while changing a sanitary napkin </w:t>
      </w:r>
      <w:r w:rsidR="00E37F6F">
        <w:rPr>
          <w:rFonts w:asciiTheme="minorBidi" w:hAnsiTheme="minorBidi" w:cs="Times New Roman"/>
          <w:lang w:val="en-US"/>
        </w:rPr>
        <w:t xml:space="preserve">or a piece of cloth </w:t>
      </w:r>
      <w:r w:rsidR="002E66D2" w:rsidRPr="00CA64D1">
        <w:rPr>
          <w:rFonts w:asciiTheme="minorBidi" w:hAnsiTheme="minorBidi" w:cs="Times New Roman"/>
          <w:lang w:val="en-US"/>
        </w:rPr>
        <w:t>comfortably in the closed doors. Space for personal hygiene at the household level can protect women from infections</w:t>
      </w:r>
      <w:r>
        <w:rPr>
          <w:rFonts w:asciiTheme="minorBidi" w:hAnsiTheme="minorBidi" w:cs="Times New Roman"/>
          <w:lang w:val="en-US"/>
        </w:rPr>
        <w:t xml:space="preserve"> as well</w:t>
      </w:r>
      <w:r w:rsidR="002E66D2" w:rsidRPr="00CA64D1">
        <w:rPr>
          <w:rFonts w:asciiTheme="minorBidi" w:hAnsiTheme="minorBidi" w:cs="Times New Roman"/>
          <w:lang w:val="en-US"/>
        </w:rPr>
        <w:t xml:space="preserve"> </w:t>
      </w:r>
      <w:r w:rsidR="002E66D2" w:rsidRPr="00CA64D1">
        <w:rPr>
          <w:rFonts w:asciiTheme="minorBidi" w:hAnsiTheme="minorBidi" w:cs="Times New Roman"/>
          <w:lang w:val="en-US"/>
        </w:rPr>
        <w:fldChar w:fldCharType="begin" w:fldLock="1"/>
      </w:r>
      <w:r w:rsidR="00C313A9" w:rsidRPr="00CA64D1">
        <w:rPr>
          <w:rFonts w:asciiTheme="minorBidi" w:hAnsiTheme="minorBidi" w:cs="Times New Roman"/>
          <w:lang w:val="en-US"/>
        </w:rPr>
        <w:instrText>ADDIN CSL_CITATION { "citationItems" : [ { "id" : "ITEM-1", "itemData" : { "DOI" : "10.1371/journal.pone.0130777", "ISSN" : "1932-6203", "PMID" : "26125184", "abstract" : "Menstrual hygiene management (MHM) practices vary worldwide and depend on the individual's socioeconomic status, personal preferences, local traditions and beliefs, and access to water and sanitation resources. MHM practices can be particularly unhygienic and inconvenient for girls and women in poorer settings. Little is known about whether unhygienic MHM practices increase a woman's exposure to urogenital infections, such as bacterial vaginosis (BV) and urinary tract infection (UTI). This study aimed to determine the association of MHM practices with urogenital infections, controlling for environmental drivers. A hospital-based case-control study was conducted on 486 women at Odisha, India. Cases and controls were recruited using a syndromic approach. Vaginal swabs were collected from all the participants and tested for BV status using Amsel's criteria. Urine samples were cultured to assess UTI status. Socioeconomic status, clinical symptoms and reproductive history, and MHM and water and sanitation practices were obtained by standardised questionnaire. A total of 486 women were recruited to the study, 228 symptomatic cases and 258 asymptomatic controls. Women who used reusable absorbent pads were more likely to have symptoms of urogenital infection (AdjOR=2.3, 95%CI1.5-3.4) or to be diagnosed with at least one urogenital infection (BV or UTI) (AdjOR=2.8, 95%CI1.7-4.5), than women using disposable pads. Increased wealth and space for personal hygiene in the household were protective for BV (AdjOR=0.5, 95%CI0.3-0.9 and AdjOR=0.6, 95%CI0.3-0.9 respectively). Lower education of the participants was the only factor associated with UTI after adjusting for all the confounders (AdjOR=3.1, 95%CI1.2-7.9). Interventions that ensure women have access to private facilities with water for MHM and that educate women about safer, low-cost MHM materials could reduce urogenital disease among women. Further studies of the effects of specific practices for managing hygienically reusable pads and studies to explore other pathogenic reproductive tract infections are needed.", "author" : [ { "dropping-particle" : "", "family" : "Das", "given" : "Padma", "non-dropping-particle" : "", "parse-names" : false, "suffix" : "" }, { "dropping-particle" : "", "family" : "Baker", "given" : "Kelly K", "non-dropping-particle" : "", "parse-names" : false, "suffix" : "" }, { "dropping-particle" : "", "family" : "Dutta", "given" : "Ambarish", "non-dropping-particle" : "", "parse-names" : false, "suffix" : "" }, { "dropping-particle" : "", "family" : "Swain", "given" : "Tapoja", "non-dropping-particle" : "", "parse-names" : false, "suffix" : "" }, { "dropping-particle" : "", "family" : "Sahoo", "given" : "Sunita", "non-dropping-particle" : "", "parse-names" : false, "suffix" : "" }, { "dropping-particle" : "", "family" : "Das", "given" : "Bhabani Sankar", "non-dropping-particle" : "", "parse-names" : false, "suffix" : "" }, { "dropping-particle" : "", "family" : "Panda", "given" : "Bijay", "non-dropping-particle" : "", "parse-names" : false, "suffix" : "" }, { "dropping-particle" : "", "family" : "Nayak", "given" : "Arati", "non-dropping-particle" : "", "parse-names" : false, "suffix" : "" }, { "dropping-particle" : "", "family" : "Bara", "given" : "Mary", "non-dropping-particle" : "", "parse-names" : false, "suffix" : "" }, { "dropping-particle" : "", "family" : "Bilung", "given" : "Bibiana", "non-dropping-particle" : "", "parse-names" : false, "suffix" : "" }, { "dropping-particle" : "", "family" : "Mishra", "given" : "Pravas Ranjan", "non-dropping-particle" : "", "parse-names" : false, "suffix" : "" }, { "dropping-particle" : "", "family" : "Panigrahi", "given" : "Pinaki", "non-dropping-particle" : "", "parse-names" : false, "suffix" : "" }, { "dropping-particle" : "", "family" : "Cairncross", "given" : "Sandy", "non-dropping-particle" : "", "parse-names" : false, "suffix" : "" }, { "dropping-particle" : "", "family" : "Torondel", "given" : "Belen", "non-dropping-particle" : "", "parse-names" : false, "suffix" : "" } ], "container-title" : "PloS one", "id" : "ITEM-1", "issue" : "6", "issued" : { "date-parts" : [ [ "2015", "1" ] ] }, "page" : "e0130777", "publisher" : "Public Library of Science", "title" : "Menstrual Hygiene Practices, WASH Access and the Risk of Urogenital Infection in Women from Odisha, India.", "type" : "article-journal", "volume" : "10" }, "uris" : [ "http://www.mendeley.com/documents/?uuid=b884823b-950f-49a0-a895-1e831727a7aa" ] } ], "mendeley" : { "formattedCitation" : "(Das et al., 2015)", "plainTextFormattedCitation" : "(Das et al., 2015)", "previouslyFormattedCitation" : "(Das et al., 2015)" }, "properties" : { "noteIndex" : 0 }, "schema" : "https://github.com/citation-style-language/schema/raw/master/csl-citation.json" }</w:instrText>
      </w:r>
      <w:r w:rsidR="002E66D2" w:rsidRPr="00CA64D1">
        <w:rPr>
          <w:rFonts w:asciiTheme="minorBidi" w:hAnsiTheme="minorBidi" w:cs="Times New Roman"/>
          <w:lang w:val="en-US"/>
        </w:rPr>
        <w:fldChar w:fldCharType="separate"/>
      </w:r>
      <w:r w:rsidR="002E66D2" w:rsidRPr="00CA64D1">
        <w:rPr>
          <w:rFonts w:asciiTheme="minorBidi" w:hAnsiTheme="minorBidi" w:cs="Times New Roman"/>
          <w:noProof/>
          <w:lang w:val="en-US"/>
        </w:rPr>
        <w:t>(Das et al., 2015)</w:t>
      </w:r>
      <w:r w:rsidR="002E66D2" w:rsidRPr="00CA64D1">
        <w:rPr>
          <w:rFonts w:asciiTheme="minorBidi" w:hAnsiTheme="minorBidi" w:cs="Times New Roman"/>
          <w:lang w:val="en-US"/>
        </w:rPr>
        <w:fldChar w:fldCharType="end"/>
      </w:r>
      <w:r w:rsidR="00A10B73">
        <w:rPr>
          <w:rFonts w:asciiTheme="minorBidi" w:hAnsiTheme="minorBidi" w:cs="Times New Roman"/>
          <w:lang w:val="en-US"/>
        </w:rPr>
        <w:t>. Therefore, m</w:t>
      </w:r>
      <w:r w:rsidR="002E66D2" w:rsidRPr="00CA64D1">
        <w:rPr>
          <w:rFonts w:asciiTheme="minorBidi" w:hAnsiTheme="minorBidi" w:cs="Times New Roman"/>
          <w:lang w:val="en-US"/>
        </w:rPr>
        <w:t xml:space="preserve">aintaining a safe and hygienic menstruation can be ensured with the availability of a toilet and water facility that can enhance privacy. </w:t>
      </w:r>
      <w:r w:rsidR="00A10B73">
        <w:rPr>
          <w:rFonts w:asciiTheme="minorBidi" w:hAnsiTheme="minorBidi" w:cs="Times New Roman"/>
          <w:lang w:val="en-US"/>
        </w:rPr>
        <w:t xml:space="preserve">In the last few years, </w:t>
      </w:r>
      <w:r w:rsidR="003F246F">
        <w:rPr>
          <w:rFonts w:asciiTheme="minorBidi" w:hAnsiTheme="minorBidi" w:cs="Times New Roman"/>
          <w:lang w:val="en-US"/>
        </w:rPr>
        <w:t xml:space="preserve">the </w:t>
      </w:r>
      <w:r w:rsidR="00A10B73">
        <w:rPr>
          <w:rFonts w:asciiTheme="minorBidi" w:hAnsiTheme="minorBidi" w:cs="Times New Roman"/>
          <w:lang w:val="en-US"/>
        </w:rPr>
        <w:t>c</w:t>
      </w:r>
      <w:r>
        <w:rPr>
          <w:rFonts w:asciiTheme="minorBidi" w:hAnsiTheme="minorBidi" w:cs="Times New Roman"/>
          <w:lang w:val="en-US"/>
        </w:rPr>
        <w:t>onstruction of toilet</w:t>
      </w:r>
      <w:r w:rsidR="003F246F">
        <w:rPr>
          <w:rFonts w:asciiTheme="minorBidi" w:hAnsiTheme="minorBidi" w:cs="Times New Roman"/>
          <w:lang w:val="en-US"/>
        </w:rPr>
        <w:t>s</w:t>
      </w:r>
      <w:r>
        <w:rPr>
          <w:rFonts w:asciiTheme="minorBidi" w:hAnsiTheme="minorBidi" w:cs="Times New Roman"/>
          <w:lang w:val="en-US"/>
        </w:rPr>
        <w:t xml:space="preserve"> under </w:t>
      </w:r>
      <w:r w:rsidRPr="0045695D">
        <w:rPr>
          <w:rFonts w:asciiTheme="minorBidi" w:hAnsiTheme="minorBidi" w:cs="Times New Roman"/>
          <w:i/>
          <w:lang w:val="en-US"/>
        </w:rPr>
        <w:t>Swachh Bharat</w:t>
      </w:r>
      <w:r>
        <w:rPr>
          <w:rFonts w:asciiTheme="minorBidi" w:hAnsiTheme="minorBidi" w:cs="Times New Roman"/>
          <w:lang w:val="en-US"/>
        </w:rPr>
        <w:t xml:space="preserve"> </w:t>
      </w:r>
      <w:r w:rsidRPr="0045695D">
        <w:rPr>
          <w:rFonts w:asciiTheme="minorBidi" w:hAnsiTheme="minorBidi" w:cs="Times New Roman"/>
          <w:i/>
          <w:lang w:val="en-US"/>
        </w:rPr>
        <w:t>Mission</w:t>
      </w:r>
      <w:r>
        <w:rPr>
          <w:rFonts w:asciiTheme="minorBidi" w:hAnsiTheme="minorBidi" w:cs="Times New Roman"/>
          <w:lang w:val="en-US"/>
        </w:rPr>
        <w:t xml:space="preserve"> in India </w:t>
      </w:r>
      <w:r w:rsidR="003F246F">
        <w:rPr>
          <w:rFonts w:asciiTheme="minorBidi" w:hAnsiTheme="minorBidi" w:cs="Times New Roman"/>
          <w:lang w:val="en-US"/>
        </w:rPr>
        <w:t xml:space="preserve">has </w:t>
      </w:r>
      <w:r w:rsidR="00A10B73">
        <w:rPr>
          <w:rFonts w:asciiTheme="minorBidi" w:hAnsiTheme="minorBidi" w:cs="Times New Roman"/>
          <w:lang w:val="en-US"/>
        </w:rPr>
        <w:t xml:space="preserve">reached a record high. However, construction of toilets alone would not suffice, the </w:t>
      </w:r>
      <w:r w:rsidR="003F246F">
        <w:rPr>
          <w:rFonts w:asciiTheme="minorBidi" w:hAnsiTheme="minorBidi" w:cs="Times New Roman"/>
          <w:lang w:val="en-US"/>
        </w:rPr>
        <w:t>M</w:t>
      </w:r>
      <w:r w:rsidR="00A10B73">
        <w:rPr>
          <w:rFonts w:asciiTheme="minorBidi" w:hAnsiTheme="minorBidi" w:cs="Times New Roman"/>
          <w:lang w:val="en-US"/>
        </w:rPr>
        <w:t xml:space="preserve">ission </w:t>
      </w:r>
      <w:r>
        <w:rPr>
          <w:rFonts w:asciiTheme="minorBidi" w:hAnsiTheme="minorBidi" w:cs="Times New Roman"/>
          <w:lang w:val="en-US"/>
        </w:rPr>
        <w:t>needs to make sure availability of water supply</w:t>
      </w:r>
      <w:r w:rsidR="00A10B73">
        <w:rPr>
          <w:rFonts w:asciiTheme="minorBidi" w:hAnsiTheme="minorBidi" w:cs="Times New Roman"/>
          <w:lang w:val="en-US"/>
        </w:rPr>
        <w:t xml:space="preserve"> so that the toilets are used for the intended purpose</w:t>
      </w:r>
      <w:r w:rsidR="003F246F">
        <w:rPr>
          <w:rFonts w:asciiTheme="minorBidi" w:hAnsiTheme="minorBidi" w:cs="Times New Roman"/>
          <w:lang w:val="en-US"/>
        </w:rPr>
        <w:t>s</w:t>
      </w:r>
      <w:r w:rsidR="00A10B73">
        <w:rPr>
          <w:rFonts w:asciiTheme="minorBidi" w:hAnsiTheme="minorBidi" w:cs="Times New Roman"/>
          <w:lang w:val="en-US"/>
        </w:rPr>
        <w:t xml:space="preserve">. </w:t>
      </w:r>
      <w:r>
        <w:rPr>
          <w:rFonts w:asciiTheme="minorBidi" w:hAnsiTheme="minorBidi" w:cs="Times New Roman"/>
          <w:lang w:val="en-US"/>
        </w:rPr>
        <w:t xml:space="preserve"> </w:t>
      </w:r>
    </w:p>
    <w:p w14:paraId="6FA2EB9E" w14:textId="77777777" w:rsidR="009D6B6E" w:rsidRPr="0045695D" w:rsidRDefault="009D6B6E" w:rsidP="00CA64D1">
      <w:pPr>
        <w:widowControl w:val="0"/>
        <w:autoSpaceDE w:val="0"/>
        <w:autoSpaceDN w:val="0"/>
        <w:adjustRightInd w:val="0"/>
        <w:spacing w:after="0" w:line="240" w:lineRule="auto"/>
        <w:ind w:left="567" w:hanging="567"/>
        <w:rPr>
          <w:rFonts w:asciiTheme="minorBidi" w:hAnsiTheme="minorBidi" w:cs="Times New Roman"/>
          <w:b/>
          <w:noProof/>
        </w:rPr>
      </w:pPr>
    </w:p>
    <w:p w14:paraId="59E7B1D6" w14:textId="79D80774" w:rsidR="002E66D2" w:rsidRPr="009D6B6E" w:rsidRDefault="002E66D2" w:rsidP="00CA64D1">
      <w:pPr>
        <w:widowControl w:val="0"/>
        <w:autoSpaceDE w:val="0"/>
        <w:autoSpaceDN w:val="0"/>
        <w:adjustRightInd w:val="0"/>
        <w:spacing w:after="0" w:line="240" w:lineRule="auto"/>
        <w:ind w:left="567" w:hanging="567"/>
        <w:rPr>
          <w:rFonts w:asciiTheme="minorBidi" w:hAnsiTheme="minorBidi" w:cs="Times New Roman"/>
          <w:b/>
          <w:noProof/>
        </w:rPr>
      </w:pPr>
      <w:r w:rsidRPr="009D6B6E">
        <w:rPr>
          <w:rFonts w:asciiTheme="minorBidi" w:hAnsiTheme="minorBidi" w:cs="Times New Roman"/>
          <w:b/>
          <w:noProof/>
        </w:rPr>
        <w:t>References</w:t>
      </w:r>
    </w:p>
    <w:p w14:paraId="3E16C7D6" w14:textId="77777777" w:rsidR="00CA64D1" w:rsidRDefault="00CA64D1" w:rsidP="00CA64D1">
      <w:pPr>
        <w:widowControl w:val="0"/>
        <w:autoSpaceDE w:val="0"/>
        <w:autoSpaceDN w:val="0"/>
        <w:adjustRightInd w:val="0"/>
        <w:spacing w:after="0" w:line="240" w:lineRule="auto"/>
        <w:ind w:left="567" w:hanging="567"/>
        <w:rPr>
          <w:rFonts w:asciiTheme="minorBidi" w:hAnsiTheme="minorBidi" w:cs="Times New Roman"/>
          <w:b/>
          <w:noProof/>
          <w:sz w:val="20"/>
          <w:szCs w:val="20"/>
        </w:rPr>
      </w:pPr>
    </w:p>
    <w:p w14:paraId="554944C2" w14:textId="3C0E4D51" w:rsidR="00D0403E" w:rsidRPr="00905F8D"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CA64D1">
        <w:rPr>
          <w:rFonts w:asciiTheme="minorBidi" w:hAnsiTheme="minorBidi" w:cs="Times New Roman"/>
          <w:b/>
          <w:noProof/>
          <w:sz w:val="20"/>
          <w:szCs w:val="20"/>
        </w:rPr>
        <w:fldChar w:fldCharType="begin" w:fldLock="1"/>
      </w:r>
      <w:r w:rsidRPr="00CA64D1">
        <w:rPr>
          <w:rFonts w:asciiTheme="minorBidi" w:hAnsiTheme="minorBidi" w:cs="Times New Roman"/>
          <w:b/>
          <w:noProof/>
          <w:sz w:val="20"/>
          <w:szCs w:val="20"/>
        </w:rPr>
        <w:instrText xml:space="preserve">ADDIN Mendeley Bibliography CSL_BIBLIOGRAPHY </w:instrText>
      </w:r>
      <w:r w:rsidRPr="00CA64D1">
        <w:rPr>
          <w:rFonts w:asciiTheme="minorBidi" w:hAnsiTheme="minorBidi" w:cs="Times New Roman"/>
          <w:b/>
          <w:noProof/>
          <w:sz w:val="20"/>
          <w:szCs w:val="20"/>
        </w:rPr>
        <w:fldChar w:fldCharType="separate"/>
      </w:r>
      <w:r w:rsidRPr="00905F8D">
        <w:rPr>
          <w:rFonts w:ascii="Times New Roman" w:eastAsia="Times New Roman" w:hAnsi="Times New Roman" w:cs="Times New Roman"/>
          <w:noProof/>
          <w:sz w:val="20"/>
          <w:szCs w:val="20"/>
        </w:rPr>
        <w:t xml:space="preserve">Acharya, A., Yadav, K., &amp; Baridalyne, N. (2006). Reproductive tract infections/sexually transmitted infections in rural Haryana : Experiences from the family health awareness campaign. </w:t>
      </w:r>
      <w:r w:rsidRPr="00905F8D">
        <w:rPr>
          <w:rFonts w:ascii="Times New Roman" w:eastAsia="Times New Roman" w:hAnsi="Times New Roman" w:cs="Times New Roman"/>
          <w:i/>
          <w:iCs/>
          <w:noProof/>
          <w:sz w:val="20"/>
          <w:szCs w:val="20"/>
        </w:rPr>
        <w:t>Indian Journal of Community Medicine</w:t>
      </w:r>
      <w:r w:rsidRPr="00905F8D">
        <w:rPr>
          <w:rFonts w:ascii="Times New Roman" w:eastAsia="Times New Roman" w:hAnsi="Times New Roman" w:cs="Times New Roman"/>
          <w:noProof/>
          <w:sz w:val="20"/>
          <w:szCs w:val="20"/>
        </w:rPr>
        <w:t xml:space="preserve">, </w:t>
      </w:r>
      <w:r w:rsidRPr="00905F8D">
        <w:rPr>
          <w:rFonts w:ascii="Times New Roman" w:eastAsia="Times New Roman" w:hAnsi="Times New Roman" w:cs="Times New Roman"/>
          <w:i/>
          <w:iCs/>
          <w:noProof/>
          <w:sz w:val="20"/>
          <w:szCs w:val="20"/>
        </w:rPr>
        <w:t>31</w:t>
      </w:r>
      <w:r w:rsidRPr="00905F8D">
        <w:rPr>
          <w:rFonts w:ascii="Times New Roman" w:eastAsia="Times New Roman" w:hAnsi="Times New Roman" w:cs="Times New Roman"/>
          <w:noProof/>
          <w:sz w:val="20"/>
          <w:szCs w:val="20"/>
        </w:rPr>
        <w:t>(4), 29–31.</w:t>
      </w:r>
    </w:p>
    <w:p w14:paraId="76DFA21C" w14:textId="75652719" w:rsidR="00D0403E" w:rsidRPr="00905F8D"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05F8D">
        <w:rPr>
          <w:rFonts w:ascii="Times New Roman" w:eastAsia="Times New Roman" w:hAnsi="Times New Roman" w:cs="Times New Roman"/>
          <w:noProof/>
          <w:sz w:val="20"/>
          <w:szCs w:val="20"/>
        </w:rPr>
        <w:t xml:space="preserve">Anand, E., Unisa, S., &amp; Singh, J. (2015a). Menstrual hygiene management among young unmarried women in India. </w:t>
      </w:r>
      <w:r w:rsidRPr="00905F8D">
        <w:rPr>
          <w:rFonts w:ascii="Times New Roman" w:eastAsia="Times New Roman" w:hAnsi="Times New Roman" w:cs="Times New Roman"/>
          <w:i/>
          <w:iCs/>
          <w:noProof/>
          <w:sz w:val="20"/>
          <w:szCs w:val="20"/>
        </w:rPr>
        <w:t>Social Science Spectrum</w:t>
      </w:r>
      <w:r w:rsidRPr="00905F8D">
        <w:rPr>
          <w:rFonts w:ascii="Times New Roman" w:eastAsia="Times New Roman" w:hAnsi="Times New Roman" w:cs="Times New Roman"/>
          <w:noProof/>
          <w:sz w:val="20"/>
          <w:szCs w:val="20"/>
        </w:rPr>
        <w:t xml:space="preserve">, </w:t>
      </w:r>
      <w:r w:rsidRPr="00905F8D">
        <w:rPr>
          <w:rFonts w:ascii="Times New Roman" w:eastAsia="Times New Roman" w:hAnsi="Times New Roman" w:cs="Times New Roman"/>
          <w:i/>
          <w:iCs/>
          <w:noProof/>
          <w:sz w:val="20"/>
          <w:szCs w:val="20"/>
        </w:rPr>
        <w:t>1</w:t>
      </w:r>
      <w:r w:rsidRPr="00905F8D">
        <w:rPr>
          <w:rFonts w:ascii="Times New Roman" w:eastAsia="Times New Roman" w:hAnsi="Times New Roman" w:cs="Times New Roman"/>
          <w:noProof/>
          <w:sz w:val="20"/>
          <w:szCs w:val="20"/>
        </w:rPr>
        <w:t>(1), 20–31.</w:t>
      </w:r>
    </w:p>
    <w:p w14:paraId="7C5B11FE" w14:textId="5CCCA626" w:rsidR="00D0403E" w:rsidRPr="00905F8D"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05F8D">
        <w:rPr>
          <w:rFonts w:ascii="Times New Roman" w:eastAsia="Times New Roman" w:hAnsi="Times New Roman" w:cs="Times New Roman"/>
          <w:noProof/>
          <w:sz w:val="20"/>
          <w:szCs w:val="20"/>
        </w:rPr>
        <w:t xml:space="preserve">Anand, E., Singh, J., &amp; Unisa, S. (2015b). Menstrual hygiene practices and its association with reproductive tract infections and abnormal vaginal discharge among women in India. </w:t>
      </w:r>
      <w:r w:rsidRPr="00905F8D">
        <w:rPr>
          <w:rFonts w:ascii="Times New Roman" w:eastAsia="Times New Roman" w:hAnsi="Times New Roman" w:cs="Times New Roman"/>
          <w:i/>
          <w:iCs/>
          <w:noProof/>
          <w:sz w:val="20"/>
          <w:szCs w:val="20"/>
        </w:rPr>
        <w:t>Sexual &amp; Reproductive Healthcare</w:t>
      </w:r>
      <w:r w:rsidRPr="00905F8D">
        <w:rPr>
          <w:rFonts w:ascii="Times New Roman" w:eastAsia="Times New Roman" w:hAnsi="Times New Roman" w:cs="Times New Roman"/>
          <w:noProof/>
          <w:sz w:val="20"/>
          <w:szCs w:val="20"/>
        </w:rPr>
        <w:t xml:space="preserve">, </w:t>
      </w:r>
      <w:r w:rsidRPr="00905F8D">
        <w:rPr>
          <w:rFonts w:ascii="Times New Roman" w:eastAsia="Times New Roman" w:hAnsi="Times New Roman" w:cs="Times New Roman"/>
          <w:i/>
          <w:iCs/>
          <w:noProof/>
          <w:sz w:val="20"/>
          <w:szCs w:val="20"/>
        </w:rPr>
        <w:t>6</w:t>
      </w:r>
      <w:r w:rsidRPr="00905F8D">
        <w:rPr>
          <w:rFonts w:ascii="Times New Roman" w:eastAsia="Times New Roman" w:hAnsi="Times New Roman" w:cs="Times New Roman"/>
          <w:noProof/>
          <w:sz w:val="20"/>
          <w:szCs w:val="20"/>
        </w:rPr>
        <w:t>(4), 249–254.</w:t>
      </w:r>
    </w:p>
    <w:p w14:paraId="4CCE26FF" w14:textId="320EE5B5" w:rsidR="00D0403E" w:rsidRPr="00905F8D"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05F8D">
        <w:rPr>
          <w:rFonts w:ascii="Times New Roman" w:eastAsia="Times New Roman" w:hAnsi="Times New Roman" w:cs="Times New Roman"/>
          <w:noProof/>
          <w:sz w:val="20"/>
          <w:szCs w:val="20"/>
        </w:rPr>
        <w:lastRenderedPageBreak/>
        <w:t xml:space="preserve">Arokiasamy, P., Jain, K., Goli, S., &amp; Pradhan, J. (2013). Health inequalities among urban children in India: A comparative assessment of Empowered Action Group (EAG) and South Indian States. </w:t>
      </w:r>
      <w:r w:rsidRPr="00905F8D">
        <w:rPr>
          <w:rFonts w:ascii="Times New Roman" w:eastAsia="Times New Roman" w:hAnsi="Times New Roman" w:cs="Times New Roman"/>
          <w:i/>
          <w:iCs/>
          <w:noProof/>
          <w:sz w:val="20"/>
          <w:szCs w:val="20"/>
        </w:rPr>
        <w:t>Journal of Biosocial Science, 45</w:t>
      </w:r>
      <w:r w:rsidRPr="00905F8D">
        <w:rPr>
          <w:rFonts w:ascii="Times New Roman" w:eastAsia="Times New Roman" w:hAnsi="Times New Roman" w:cs="Times New Roman"/>
          <w:noProof/>
          <w:sz w:val="20"/>
          <w:szCs w:val="20"/>
        </w:rPr>
        <w:t>(2), 167–185.</w:t>
      </w:r>
    </w:p>
    <w:p w14:paraId="1BBAE9DE" w14:textId="008F2BCC" w:rsidR="00D0403E"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05F8D">
        <w:rPr>
          <w:rFonts w:ascii="Times New Roman" w:eastAsia="Times New Roman" w:hAnsi="Times New Roman" w:cs="Times New Roman"/>
          <w:noProof/>
          <w:sz w:val="20"/>
          <w:szCs w:val="20"/>
        </w:rPr>
        <w:t>Baridalyne, N., &amp; Reddaiah, V. (2004)</w:t>
      </w:r>
      <w:r w:rsidRPr="00CA64D1">
        <w:rPr>
          <w:rFonts w:ascii="Times New Roman" w:eastAsia="Times New Roman" w:hAnsi="Times New Roman" w:cs="Times New Roman"/>
          <w:noProof/>
          <w:sz w:val="20"/>
          <w:szCs w:val="20"/>
        </w:rPr>
        <w:t>. Menstruation: knowledge, beliefs and practices of</w:t>
      </w:r>
      <w:r>
        <w:rPr>
          <w:rFonts w:ascii="Times New Roman" w:eastAsia="Times New Roman" w:hAnsi="Times New Roman" w:cs="Times New Roman"/>
          <w:noProof/>
          <w:sz w:val="20"/>
          <w:szCs w:val="20"/>
        </w:rPr>
        <w:t xml:space="preserve"> </w:t>
      </w:r>
      <w:r w:rsidRPr="00CA64D1">
        <w:rPr>
          <w:rFonts w:ascii="Times New Roman" w:eastAsia="Times New Roman" w:hAnsi="Times New Roman" w:cs="Times New Roman"/>
          <w:noProof/>
          <w:sz w:val="20"/>
          <w:szCs w:val="20"/>
        </w:rPr>
        <w:t xml:space="preserve">women in the reproductive age group residing in an urban resettlement colony of </w:t>
      </w:r>
      <w:r>
        <w:rPr>
          <w:rFonts w:ascii="Times New Roman" w:eastAsia="Times New Roman" w:hAnsi="Times New Roman" w:cs="Times New Roman"/>
          <w:noProof/>
          <w:sz w:val="20"/>
          <w:szCs w:val="20"/>
        </w:rPr>
        <w:t>D</w:t>
      </w:r>
      <w:r w:rsidRPr="00CA64D1">
        <w:rPr>
          <w:rFonts w:ascii="Times New Roman" w:eastAsia="Times New Roman" w:hAnsi="Times New Roman" w:cs="Times New Roman"/>
          <w:noProof/>
          <w:sz w:val="20"/>
          <w:szCs w:val="20"/>
        </w:rPr>
        <w:t xml:space="preserve">elhi. </w:t>
      </w:r>
      <w:r w:rsidRPr="00CA64D1">
        <w:rPr>
          <w:rFonts w:ascii="Times New Roman" w:eastAsia="Times New Roman" w:hAnsi="Times New Roman" w:cs="Times New Roman"/>
          <w:i/>
          <w:iCs/>
          <w:noProof/>
          <w:sz w:val="20"/>
          <w:szCs w:val="20"/>
        </w:rPr>
        <w:t>Health and Population-Perspectives and Issues</w:t>
      </w:r>
      <w:r w:rsidRPr="00CA64D1">
        <w:rPr>
          <w:rFonts w:ascii="Times New Roman" w:eastAsia="Times New Roman" w:hAnsi="Times New Roman" w:cs="Times New Roman"/>
          <w:noProof/>
          <w:sz w:val="20"/>
          <w:szCs w:val="20"/>
        </w:rPr>
        <w:t xml:space="preserve">, </w:t>
      </w:r>
      <w:r w:rsidRPr="00CA64D1">
        <w:rPr>
          <w:rFonts w:ascii="Times New Roman" w:eastAsia="Times New Roman" w:hAnsi="Times New Roman" w:cs="Times New Roman"/>
          <w:i/>
          <w:iCs/>
          <w:noProof/>
          <w:sz w:val="20"/>
          <w:szCs w:val="20"/>
        </w:rPr>
        <w:t>27</w:t>
      </w:r>
      <w:r w:rsidRPr="00CA64D1">
        <w:rPr>
          <w:rFonts w:ascii="Times New Roman" w:eastAsia="Times New Roman" w:hAnsi="Times New Roman" w:cs="Times New Roman"/>
          <w:noProof/>
          <w:sz w:val="20"/>
          <w:szCs w:val="20"/>
        </w:rPr>
        <w:t>(1), 9–16.</w:t>
      </w:r>
    </w:p>
    <w:p w14:paraId="6CAAAC55" w14:textId="0F8FD8D3" w:rsidR="00D0403E"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05F8D">
        <w:rPr>
          <w:rFonts w:ascii="Times New Roman" w:eastAsia="Times New Roman" w:hAnsi="Times New Roman" w:cs="Times New Roman"/>
          <w:noProof/>
          <w:sz w:val="20"/>
          <w:szCs w:val="20"/>
        </w:rPr>
        <w:t xml:space="preserve">Bhatia, J. C., &amp; Cleland, J. (1995). Self-reported symptoms of gynecological morbidity and their treatment in south India. </w:t>
      </w:r>
      <w:r w:rsidRPr="00905F8D">
        <w:rPr>
          <w:rFonts w:ascii="Times New Roman" w:eastAsia="Times New Roman" w:hAnsi="Times New Roman" w:cs="Times New Roman"/>
          <w:i/>
          <w:noProof/>
          <w:sz w:val="20"/>
          <w:szCs w:val="20"/>
        </w:rPr>
        <w:t>Studies in Family Planning, 26</w:t>
      </w:r>
      <w:r w:rsidRPr="00905F8D">
        <w:rPr>
          <w:rFonts w:ascii="Times New Roman" w:eastAsia="Times New Roman" w:hAnsi="Times New Roman" w:cs="Times New Roman"/>
          <w:noProof/>
          <w:sz w:val="20"/>
          <w:szCs w:val="20"/>
        </w:rPr>
        <w:t xml:space="preserve">(4), 203–216. </w:t>
      </w:r>
    </w:p>
    <w:p w14:paraId="6AA22C0B" w14:textId="1C7DD479" w:rsidR="00D0403E" w:rsidRPr="00CA64D1"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05F8D">
        <w:rPr>
          <w:rFonts w:ascii="Times New Roman" w:eastAsia="Times New Roman" w:hAnsi="Times New Roman" w:cs="Times New Roman"/>
          <w:noProof/>
          <w:sz w:val="20"/>
          <w:szCs w:val="20"/>
        </w:rPr>
        <w:t xml:space="preserve">Bhatia, J. C., Cleland, J., Bhagavan, L., &amp; Rao, N. S. (1997). Levels and determinants of gynecological morbidity in a district of south India. </w:t>
      </w:r>
      <w:r w:rsidRPr="00905F8D">
        <w:rPr>
          <w:rFonts w:ascii="Times New Roman" w:eastAsia="Times New Roman" w:hAnsi="Times New Roman" w:cs="Times New Roman"/>
          <w:i/>
          <w:noProof/>
          <w:sz w:val="20"/>
          <w:szCs w:val="20"/>
        </w:rPr>
        <w:t>Studies in Family Planning, 28</w:t>
      </w:r>
      <w:r w:rsidRPr="00905F8D">
        <w:rPr>
          <w:rFonts w:ascii="Times New Roman" w:eastAsia="Times New Roman" w:hAnsi="Times New Roman" w:cs="Times New Roman"/>
          <w:noProof/>
          <w:sz w:val="20"/>
          <w:szCs w:val="20"/>
        </w:rPr>
        <w:t xml:space="preserve">(2), 95–103. </w:t>
      </w:r>
    </w:p>
    <w:p w14:paraId="6A8082E0" w14:textId="224CDF51" w:rsidR="00D0403E" w:rsidRPr="00CA64D1"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05F8D">
        <w:rPr>
          <w:rFonts w:ascii="Times New Roman" w:eastAsia="Times New Roman" w:hAnsi="Times New Roman" w:cs="Times New Roman"/>
          <w:noProof/>
          <w:sz w:val="20"/>
          <w:szCs w:val="20"/>
        </w:rPr>
        <w:t>Chalasani, S. (2012).</w:t>
      </w:r>
      <w:r w:rsidRPr="00CA64D1">
        <w:rPr>
          <w:rFonts w:ascii="Times New Roman" w:eastAsia="Times New Roman" w:hAnsi="Times New Roman" w:cs="Times New Roman"/>
          <w:noProof/>
          <w:sz w:val="20"/>
          <w:szCs w:val="20"/>
        </w:rPr>
        <w:t xml:space="preserve"> Understanding wealth-based inequalities in child health in India: </w:t>
      </w:r>
      <w:r>
        <w:rPr>
          <w:rFonts w:ascii="Times New Roman" w:eastAsia="Times New Roman" w:hAnsi="Times New Roman" w:cs="Times New Roman"/>
          <w:noProof/>
          <w:sz w:val="20"/>
          <w:szCs w:val="20"/>
        </w:rPr>
        <w:t>A</w:t>
      </w:r>
      <w:r w:rsidRPr="00CA64D1">
        <w:rPr>
          <w:rFonts w:ascii="Times New Roman" w:eastAsia="Times New Roman" w:hAnsi="Times New Roman" w:cs="Times New Roman"/>
          <w:noProof/>
          <w:sz w:val="20"/>
          <w:szCs w:val="20"/>
        </w:rPr>
        <w:t xml:space="preserve"> decomposition approach. </w:t>
      </w:r>
      <w:r w:rsidRPr="00905F8D">
        <w:rPr>
          <w:rFonts w:ascii="Times New Roman" w:eastAsia="Times New Roman" w:hAnsi="Times New Roman" w:cs="Times New Roman"/>
          <w:i/>
          <w:noProof/>
          <w:sz w:val="20"/>
          <w:szCs w:val="20"/>
        </w:rPr>
        <w:t>Social Science &amp; Medicine, 75</w:t>
      </w:r>
      <w:r w:rsidRPr="00CA64D1">
        <w:rPr>
          <w:rFonts w:ascii="Times New Roman" w:eastAsia="Times New Roman" w:hAnsi="Times New Roman" w:cs="Times New Roman"/>
          <w:noProof/>
          <w:sz w:val="20"/>
          <w:szCs w:val="20"/>
        </w:rPr>
        <w:t>(12), 2160–9.</w:t>
      </w:r>
      <w:r>
        <w:rPr>
          <w:rFonts w:ascii="Times New Roman" w:eastAsia="Times New Roman" w:hAnsi="Times New Roman" w:cs="Times New Roman"/>
          <w:noProof/>
          <w:sz w:val="20"/>
          <w:szCs w:val="20"/>
        </w:rPr>
        <w:t xml:space="preserve"> </w:t>
      </w:r>
    </w:p>
    <w:p w14:paraId="5F29C641" w14:textId="7A1FEED7" w:rsidR="00D0403E" w:rsidRPr="00CA64D1"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05F8D">
        <w:rPr>
          <w:rFonts w:ascii="Times New Roman" w:eastAsia="Times New Roman" w:hAnsi="Times New Roman" w:cs="Times New Roman"/>
          <w:noProof/>
          <w:sz w:val="20"/>
          <w:szCs w:val="20"/>
        </w:rPr>
        <w:t>Creanga, A. A., Gillespie, D., Karklins</w:t>
      </w:r>
      <w:r>
        <w:rPr>
          <w:rFonts w:ascii="Times New Roman" w:eastAsia="Times New Roman" w:hAnsi="Times New Roman" w:cs="Times New Roman"/>
          <w:noProof/>
          <w:sz w:val="20"/>
          <w:szCs w:val="20"/>
        </w:rPr>
        <w:t xml:space="preserve">, S., &amp; Tsui, A. O. (2011). </w:t>
      </w:r>
      <w:r w:rsidRPr="00CA64D1">
        <w:rPr>
          <w:rFonts w:ascii="Times New Roman" w:eastAsia="Times New Roman" w:hAnsi="Times New Roman" w:cs="Times New Roman"/>
          <w:noProof/>
          <w:sz w:val="20"/>
          <w:szCs w:val="20"/>
        </w:rPr>
        <w:t xml:space="preserve">Low use of contraception among poor women in Africa: an equity issue. </w:t>
      </w:r>
      <w:r w:rsidRPr="00905F8D">
        <w:rPr>
          <w:rFonts w:ascii="Times New Roman" w:eastAsia="Times New Roman" w:hAnsi="Times New Roman" w:cs="Times New Roman"/>
          <w:i/>
          <w:noProof/>
          <w:sz w:val="20"/>
          <w:szCs w:val="20"/>
        </w:rPr>
        <w:t>Bulletin of the World Health Organization, 89</w:t>
      </w:r>
      <w:r w:rsidRPr="00CA64D1">
        <w:rPr>
          <w:rFonts w:ascii="Times New Roman" w:eastAsia="Times New Roman" w:hAnsi="Times New Roman" w:cs="Times New Roman"/>
          <w:noProof/>
          <w:sz w:val="20"/>
          <w:szCs w:val="20"/>
        </w:rPr>
        <w:t xml:space="preserve">, 258–66. </w:t>
      </w:r>
    </w:p>
    <w:p w14:paraId="60A7A79E" w14:textId="361AB072" w:rsidR="00D0403E" w:rsidRPr="00CA64D1"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05F8D">
        <w:rPr>
          <w:rFonts w:ascii="Times New Roman" w:eastAsia="Times New Roman" w:hAnsi="Times New Roman" w:cs="Times New Roman"/>
          <w:noProof/>
          <w:sz w:val="20"/>
          <w:szCs w:val="20"/>
        </w:rPr>
        <w:t>Dambhare, D. G., Wagh, S. V., &amp;</w:t>
      </w:r>
      <w:r w:rsidRPr="00CA64D1">
        <w:rPr>
          <w:rFonts w:ascii="Times New Roman" w:eastAsia="Times New Roman" w:hAnsi="Times New Roman" w:cs="Times New Roman"/>
          <w:noProof/>
          <w:sz w:val="20"/>
          <w:szCs w:val="20"/>
        </w:rPr>
        <w:t xml:space="preserve"> Dudhe, J. Y. (2012). Age at </w:t>
      </w:r>
      <w:r>
        <w:rPr>
          <w:rFonts w:ascii="Times New Roman" w:eastAsia="Times New Roman" w:hAnsi="Times New Roman" w:cs="Times New Roman"/>
          <w:noProof/>
          <w:sz w:val="20"/>
          <w:szCs w:val="20"/>
        </w:rPr>
        <w:t>menarche and m</w:t>
      </w:r>
      <w:r w:rsidRPr="00CA64D1">
        <w:rPr>
          <w:rFonts w:ascii="Times New Roman" w:eastAsia="Times New Roman" w:hAnsi="Times New Roman" w:cs="Times New Roman"/>
          <w:noProof/>
          <w:sz w:val="20"/>
          <w:szCs w:val="20"/>
        </w:rPr>
        <w:t xml:space="preserve">enstrual </w:t>
      </w:r>
      <w:r>
        <w:rPr>
          <w:rFonts w:ascii="Times New Roman" w:eastAsia="Times New Roman" w:hAnsi="Times New Roman" w:cs="Times New Roman"/>
          <w:noProof/>
          <w:sz w:val="20"/>
          <w:szCs w:val="20"/>
        </w:rPr>
        <w:t>c</w:t>
      </w:r>
      <w:r w:rsidRPr="00CA64D1">
        <w:rPr>
          <w:rFonts w:ascii="Times New Roman" w:eastAsia="Times New Roman" w:hAnsi="Times New Roman" w:cs="Times New Roman"/>
          <w:noProof/>
          <w:sz w:val="20"/>
          <w:szCs w:val="20"/>
        </w:rPr>
        <w:t xml:space="preserve">ycle </w:t>
      </w:r>
      <w:r>
        <w:rPr>
          <w:rFonts w:ascii="Times New Roman" w:eastAsia="Times New Roman" w:hAnsi="Times New Roman" w:cs="Times New Roman"/>
          <w:noProof/>
          <w:sz w:val="20"/>
          <w:szCs w:val="20"/>
        </w:rPr>
        <w:t>pattern among s</w:t>
      </w:r>
      <w:r w:rsidRPr="00CA64D1">
        <w:rPr>
          <w:rFonts w:ascii="Times New Roman" w:eastAsia="Times New Roman" w:hAnsi="Times New Roman" w:cs="Times New Roman"/>
          <w:noProof/>
          <w:sz w:val="20"/>
          <w:szCs w:val="20"/>
        </w:rPr>
        <w:t xml:space="preserve">chool </w:t>
      </w:r>
      <w:r>
        <w:rPr>
          <w:rFonts w:ascii="Times New Roman" w:eastAsia="Times New Roman" w:hAnsi="Times New Roman" w:cs="Times New Roman"/>
          <w:noProof/>
          <w:sz w:val="20"/>
          <w:szCs w:val="20"/>
        </w:rPr>
        <w:t>a</w:t>
      </w:r>
      <w:r w:rsidRPr="00CA64D1">
        <w:rPr>
          <w:rFonts w:ascii="Times New Roman" w:eastAsia="Times New Roman" w:hAnsi="Times New Roman" w:cs="Times New Roman"/>
          <w:noProof/>
          <w:sz w:val="20"/>
          <w:szCs w:val="20"/>
        </w:rPr>
        <w:t xml:space="preserve">dolescent </w:t>
      </w:r>
      <w:r>
        <w:rPr>
          <w:rFonts w:ascii="Times New Roman" w:eastAsia="Times New Roman" w:hAnsi="Times New Roman" w:cs="Times New Roman"/>
          <w:noProof/>
          <w:sz w:val="20"/>
          <w:szCs w:val="20"/>
        </w:rPr>
        <w:t>g</w:t>
      </w:r>
      <w:r w:rsidRPr="00CA64D1">
        <w:rPr>
          <w:rFonts w:ascii="Times New Roman" w:eastAsia="Times New Roman" w:hAnsi="Times New Roman" w:cs="Times New Roman"/>
          <w:noProof/>
          <w:sz w:val="20"/>
          <w:szCs w:val="20"/>
        </w:rPr>
        <w:t xml:space="preserve">irls in Central India. </w:t>
      </w:r>
      <w:r w:rsidRPr="00905F8D">
        <w:rPr>
          <w:rFonts w:ascii="Times New Roman" w:eastAsia="Times New Roman" w:hAnsi="Times New Roman" w:cs="Times New Roman"/>
          <w:i/>
          <w:noProof/>
          <w:sz w:val="20"/>
          <w:szCs w:val="20"/>
        </w:rPr>
        <w:t>Global Journal of Health Science, 4</w:t>
      </w:r>
      <w:r>
        <w:rPr>
          <w:rFonts w:ascii="Times New Roman" w:eastAsia="Times New Roman" w:hAnsi="Times New Roman" w:cs="Times New Roman"/>
          <w:noProof/>
          <w:sz w:val="20"/>
          <w:szCs w:val="20"/>
        </w:rPr>
        <w:t>(1), 105–111.</w:t>
      </w:r>
    </w:p>
    <w:p w14:paraId="1AD649D8" w14:textId="77777777" w:rsidR="00D0403E" w:rsidRPr="00CA64D1"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05F8D">
        <w:rPr>
          <w:rFonts w:ascii="Times New Roman" w:eastAsia="Times New Roman" w:hAnsi="Times New Roman" w:cs="Times New Roman"/>
          <w:noProof/>
          <w:sz w:val="20"/>
          <w:szCs w:val="20"/>
        </w:rPr>
        <w:t>Das, P., Baker, K. K., Dutta,</w:t>
      </w:r>
      <w:r w:rsidRPr="00CA64D1">
        <w:rPr>
          <w:rFonts w:ascii="Times New Roman" w:eastAsia="Times New Roman" w:hAnsi="Times New Roman" w:cs="Times New Roman"/>
          <w:noProof/>
          <w:sz w:val="20"/>
          <w:szCs w:val="20"/>
        </w:rPr>
        <w:t xml:space="preserve"> A., Swain, T., Sahoo, S., Das, B. S., … Torondel, B. (2015). Menstrual </w:t>
      </w:r>
      <w:r>
        <w:rPr>
          <w:rFonts w:ascii="Times New Roman" w:eastAsia="Times New Roman" w:hAnsi="Times New Roman" w:cs="Times New Roman"/>
          <w:noProof/>
          <w:sz w:val="20"/>
          <w:szCs w:val="20"/>
        </w:rPr>
        <w:t>h</w:t>
      </w:r>
      <w:r w:rsidRPr="00CA64D1">
        <w:rPr>
          <w:rFonts w:ascii="Times New Roman" w:eastAsia="Times New Roman" w:hAnsi="Times New Roman" w:cs="Times New Roman"/>
          <w:noProof/>
          <w:sz w:val="20"/>
          <w:szCs w:val="20"/>
        </w:rPr>
        <w:t xml:space="preserve">ygiene </w:t>
      </w:r>
      <w:r>
        <w:rPr>
          <w:rFonts w:ascii="Times New Roman" w:eastAsia="Times New Roman" w:hAnsi="Times New Roman" w:cs="Times New Roman"/>
          <w:noProof/>
          <w:sz w:val="20"/>
          <w:szCs w:val="20"/>
        </w:rPr>
        <w:t>p</w:t>
      </w:r>
      <w:r w:rsidRPr="00CA64D1">
        <w:rPr>
          <w:rFonts w:ascii="Times New Roman" w:eastAsia="Times New Roman" w:hAnsi="Times New Roman" w:cs="Times New Roman"/>
          <w:noProof/>
          <w:sz w:val="20"/>
          <w:szCs w:val="20"/>
        </w:rPr>
        <w:t xml:space="preserve">ractices, WASH </w:t>
      </w:r>
      <w:r>
        <w:rPr>
          <w:rFonts w:ascii="Times New Roman" w:eastAsia="Times New Roman" w:hAnsi="Times New Roman" w:cs="Times New Roman"/>
          <w:noProof/>
          <w:sz w:val="20"/>
          <w:szCs w:val="20"/>
        </w:rPr>
        <w:t>a</w:t>
      </w:r>
      <w:r w:rsidRPr="00CA64D1">
        <w:rPr>
          <w:rFonts w:ascii="Times New Roman" w:eastAsia="Times New Roman" w:hAnsi="Times New Roman" w:cs="Times New Roman"/>
          <w:noProof/>
          <w:sz w:val="20"/>
          <w:szCs w:val="20"/>
        </w:rPr>
        <w:t xml:space="preserve">ccess and the </w:t>
      </w:r>
      <w:r>
        <w:rPr>
          <w:rFonts w:ascii="Times New Roman" w:eastAsia="Times New Roman" w:hAnsi="Times New Roman" w:cs="Times New Roman"/>
          <w:noProof/>
          <w:sz w:val="20"/>
          <w:szCs w:val="20"/>
        </w:rPr>
        <w:t>r</w:t>
      </w:r>
      <w:r w:rsidRPr="00CA64D1">
        <w:rPr>
          <w:rFonts w:ascii="Times New Roman" w:eastAsia="Times New Roman" w:hAnsi="Times New Roman" w:cs="Times New Roman"/>
          <w:noProof/>
          <w:sz w:val="20"/>
          <w:szCs w:val="20"/>
        </w:rPr>
        <w:t xml:space="preserve">isk of </w:t>
      </w:r>
      <w:r>
        <w:rPr>
          <w:rFonts w:ascii="Times New Roman" w:eastAsia="Times New Roman" w:hAnsi="Times New Roman" w:cs="Times New Roman"/>
          <w:noProof/>
          <w:sz w:val="20"/>
          <w:szCs w:val="20"/>
        </w:rPr>
        <w:t>u</w:t>
      </w:r>
      <w:r w:rsidRPr="00CA64D1">
        <w:rPr>
          <w:rFonts w:ascii="Times New Roman" w:eastAsia="Times New Roman" w:hAnsi="Times New Roman" w:cs="Times New Roman"/>
          <w:noProof/>
          <w:sz w:val="20"/>
          <w:szCs w:val="20"/>
        </w:rPr>
        <w:t xml:space="preserve">rogenital </w:t>
      </w:r>
      <w:r>
        <w:rPr>
          <w:rFonts w:ascii="Times New Roman" w:eastAsia="Times New Roman" w:hAnsi="Times New Roman" w:cs="Times New Roman"/>
          <w:noProof/>
          <w:sz w:val="20"/>
          <w:szCs w:val="20"/>
        </w:rPr>
        <w:t>i</w:t>
      </w:r>
      <w:r w:rsidRPr="00CA64D1">
        <w:rPr>
          <w:rFonts w:ascii="Times New Roman" w:eastAsia="Times New Roman" w:hAnsi="Times New Roman" w:cs="Times New Roman"/>
          <w:noProof/>
          <w:sz w:val="20"/>
          <w:szCs w:val="20"/>
        </w:rPr>
        <w:t xml:space="preserve">nfection in </w:t>
      </w:r>
      <w:r>
        <w:rPr>
          <w:rFonts w:ascii="Times New Roman" w:eastAsia="Times New Roman" w:hAnsi="Times New Roman" w:cs="Times New Roman"/>
          <w:noProof/>
          <w:sz w:val="20"/>
          <w:szCs w:val="20"/>
        </w:rPr>
        <w:t>w</w:t>
      </w:r>
      <w:r w:rsidRPr="00CA64D1">
        <w:rPr>
          <w:rFonts w:ascii="Times New Roman" w:eastAsia="Times New Roman" w:hAnsi="Times New Roman" w:cs="Times New Roman"/>
          <w:noProof/>
          <w:sz w:val="20"/>
          <w:szCs w:val="20"/>
        </w:rPr>
        <w:t xml:space="preserve">omen from Odisha, India. </w:t>
      </w:r>
      <w:r w:rsidRPr="00905F8D">
        <w:rPr>
          <w:rFonts w:ascii="Times New Roman" w:eastAsia="Times New Roman" w:hAnsi="Times New Roman" w:cs="Times New Roman"/>
          <w:i/>
          <w:noProof/>
          <w:sz w:val="20"/>
          <w:szCs w:val="20"/>
        </w:rPr>
        <w:t>PloS One, 10</w:t>
      </w:r>
      <w:r w:rsidRPr="00CA64D1">
        <w:rPr>
          <w:rFonts w:ascii="Times New Roman" w:eastAsia="Times New Roman" w:hAnsi="Times New Roman" w:cs="Times New Roman"/>
          <w:noProof/>
          <w:sz w:val="20"/>
          <w:szCs w:val="20"/>
        </w:rPr>
        <w:t>(6), e0130777. https://doi.org/10.1371/journal.pone.0130777</w:t>
      </w:r>
    </w:p>
    <w:p w14:paraId="29DB9719" w14:textId="602C884F" w:rsidR="00D0403E" w:rsidRPr="00905F8D"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05F8D">
        <w:rPr>
          <w:rFonts w:ascii="Times New Roman" w:eastAsia="Times New Roman" w:hAnsi="Times New Roman" w:cs="Times New Roman"/>
          <w:noProof/>
          <w:sz w:val="20"/>
          <w:szCs w:val="20"/>
        </w:rPr>
        <w:t>Garg, R., Goyal, S., &amp; Gupta, S. (2012). India moves towards menstrual hygiene: Subsidized sanitary napkins for rural adolescent girls</w:t>
      </w:r>
      <w:r w:rsidR="00786E6B">
        <w:rPr>
          <w:rFonts w:ascii="Times New Roman" w:eastAsia="Times New Roman" w:hAnsi="Times New Roman" w:cs="Times New Roman"/>
          <w:noProof/>
          <w:sz w:val="20"/>
          <w:szCs w:val="20"/>
        </w:rPr>
        <w:t xml:space="preserve"> </w:t>
      </w:r>
      <w:r w:rsidRPr="00905F8D">
        <w:rPr>
          <w:rFonts w:ascii="Times New Roman" w:eastAsia="Times New Roman" w:hAnsi="Times New Roman" w:cs="Times New Roman"/>
          <w:noProof/>
          <w:sz w:val="20"/>
          <w:szCs w:val="20"/>
        </w:rPr>
        <w:t>-</w:t>
      </w:r>
      <w:r w:rsidR="00786E6B">
        <w:rPr>
          <w:rFonts w:ascii="Times New Roman" w:eastAsia="Times New Roman" w:hAnsi="Times New Roman" w:cs="Times New Roman"/>
          <w:noProof/>
          <w:sz w:val="20"/>
          <w:szCs w:val="20"/>
        </w:rPr>
        <w:t xml:space="preserve"> </w:t>
      </w:r>
      <w:r w:rsidRPr="00905F8D">
        <w:rPr>
          <w:rFonts w:ascii="Times New Roman" w:eastAsia="Times New Roman" w:hAnsi="Times New Roman" w:cs="Times New Roman"/>
          <w:noProof/>
          <w:sz w:val="20"/>
          <w:szCs w:val="20"/>
        </w:rPr>
        <w:t xml:space="preserve">issues and challenges. </w:t>
      </w:r>
      <w:r w:rsidRPr="00905F8D">
        <w:rPr>
          <w:rFonts w:ascii="Times New Roman" w:eastAsia="Times New Roman" w:hAnsi="Times New Roman" w:cs="Times New Roman"/>
          <w:i/>
          <w:iCs/>
          <w:noProof/>
          <w:sz w:val="20"/>
          <w:szCs w:val="20"/>
        </w:rPr>
        <w:t>Maternal and Child Health Journal</w:t>
      </w:r>
      <w:r w:rsidRPr="00905F8D">
        <w:rPr>
          <w:rFonts w:ascii="Times New Roman" w:eastAsia="Times New Roman" w:hAnsi="Times New Roman" w:cs="Times New Roman"/>
          <w:noProof/>
          <w:sz w:val="20"/>
          <w:szCs w:val="20"/>
        </w:rPr>
        <w:t xml:space="preserve">, </w:t>
      </w:r>
      <w:r w:rsidRPr="00905F8D">
        <w:rPr>
          <w:rFonts w:ascii="Times New Roman" w:eastAsia="Times New Roman" w:hAnsi="Times New Roman" w:cs="Times New Roman"/>
          <w:i/>
          <w:iCs/>
          <w:noProof/>
          <w:sz w:val="20"/>
          <w:szCs w:val="20"/>
        </w:rPr>
        <w:t>16</w:t>
      </w:r>
      <w:r w:rsidRPr="00905F8D">
        <w:rPr>
          <w:rFonts w:ascii="Times New Roman" w:eastAsia="Times New Roman" w:hAnsi="Times New Roman" w:cs="Times New Roman"/>
          <w:noProof/>
          <w:sz w:val="20"/>
          <w:szCs w:val="20"/>
        </w:rPr>
        <w:t xml:space="preserve">(4), 767–74. </w:t>
      </w:r>
    </w:p>
    <w:p w14:paraId="68405353" w14:textId="6240F5B8" w:rsidR="00D0403E" w:rsidRPr="00905F8D"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05F8D">
        <w:rPr>
          <w:rFonts w:ascii="Times New Roman" w:eastAsia="Times New Roman" w:hAnsi="Times New Roman" w:cs="Times New Roman"/>
          <w:noProof/>
          <w:sz w:val="20"/>
          <w:szCs w:val="20"/>
        </w:rPr>
        <w:t xml:space="preserve">Garg, S., &amp; Anand, T. (2015). Menstruation related myths in India: Strategies for combating it. </w:t>
      </w:r>
      <w:r w:rsidRPr="00905F8D">
        <w:rPr>
          <w:rFonts w:ascii="Times New Roman" w:eastAsia="Times New Roman" w:hAnsi="Times New Roman" w:cs="Times New Roman"/>
          <w:i/>
          <w:iCs/>
          <w:noProof/>
          <w:sz w:val="20"/>
          <w:szCs w:val="20"/>
        </w:rPr>
        <w:t>Journal of Family Medicine and Primary Care</w:t>
      </w:r>
      <w:r w:rsidRPr="00905F8D">
        <w:rPr>
          <w:rFonts w:ascii="Times New Roman" w:eastAsia="Times New Roman" w:hAnsi="Times New Roman" w:cs="Times New Roman"/>
          <w:noProof/>
          <w:sz w:val="20"/>
          <w:szCs w:val="20"/>
        </w:rPr>
        <w:t xml:space="preserve">, </w:t>
      </w:r>
      <w:r w:rsidRPr="00905F8D">
        <w:rPr>
          <w:rFonts w:ascii="Times New Roman" w:eastAsia="Times New Roman" w:hAnsi="Times New Roman" w:cs="Times New Roman"/>
          <w:i/>
          <w:iCs/>
          <w:noProof/>
          <w:sz w:val="20"/>
          <w:szCs w:val="20"/>
        </w:rPr>
        <w:t>4</w:t>
      </w:r>
      <w:r w:rsidRPr="00905F8D">
        <w:rPr>
          <w:rFonts w:ascii="Times New Roman" w:eastAsia="Times New Roman" w:hAnsi="Times New Roman" w:cs="Times New Roman"/>
          <w:noProof/>
          <w:sz w:val="20"/>
          <w:szCs w:val="20"/>
        </w:rPr>
        <w:t>(2), 184–186.</w:t>
      </w:r>
    </w:p>
    <w:p w14:paraId="06C98EAB" w14:textId="77777777" w:rsidR="00D0403E"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05F8D">
        <w:rPr>
          <w:rFonts w:ascii="Times New Roman" w:eastAsia="Times New Roman" w:hAnsi="Times New Roman" w:cs="Times New Roman"/>
          <w:noProof/>
          <w:sz w:val="20"/>
          <w:szCs w:val="20"/>
        </w:rPr>
        <w:t>Hosseinpoor, A. R., Van Doorslaer,</w:t>
      </w:r>
      <w:r w:rsidRPr="00CA64D1">
        <w:rPr>
          <w:rFonts w:ascii="Times New Roman" w:eastAsia="Times New Roman" w:hAnsi="Times New Roman" w:cs="Times New Roman"/>
          <w:noProof/>
          <w:sz w:val="20"/>
          <w:szCs w:val="20"/>
        </w:rPr>
        <w:t xml:space="preserve"> E., Speybroeck, N., Naghavi, M., Mohammad, K., Majdzadeh, R., … Vega, J. (2006). Decomposing socioeconomic inequality in infant mortality in Iran. </w:t>
      </w:r>
      <w:r w:rsidRPr="00CA64D1">
        <w:rPr>
          <w:rFonts w:ascii="Times New Roman" w:eastAsia="Times New Roman" w:hAnsi="Times New Roman" w:cs="Times New Roman"/>
          <w:i/>
          <w:iCs/>
          <w:noProof/>
          <w:sz w:val="20"/>
          <w:szCs w:val="20"/>
        </w:rPr>
        <w:t>International Journal of Epidemiology</w:t>
      </w:r>
      <w:r w:rsidRPr="00CA64D1">
        <w:rPr>
          <w:rFonts w:ascii="Times New Roman" w:eastAsia="Times New Roman" w:hAnsi="Times New Roman" w:cs="Times New Roman"/>
          <w:noProof/>
          <w:sz w:val="20"/>
          <w:szCs w:val="20"/>
        </w:rPr>
        <w:t xml:space="preserve">, </w:t>
      </w:r>
      <w:r w:rsidRPr="00CA64D1">
        <w:rPr>
          <w:rFonts w:ascii="Times New Roman" w:eastAsia="Times New Roman" w:hAnsi="Times New Roman" w:cs="Times New Roman"/>
          <w:i/>
          <w:iCs/>
          <w:noProof/>
          <w:sz w:val="20"/>
          <w:szCs w:val="20"/>
        </w:rPr>
        <w:t>35</w:t>
      </w:r>
      <w:r w:rsidRPr="00CA64D1">
        <w:rPr>
          <w:rFonts w:ascii="Times New Roman" w:eastAsia="Times New Roman" w:hAnsi="Times New Roman" w:cs="Times New Roman"/>
          <w:noProof/>
          <w:sz w:val="20"/>
          <w:szCs w:val="20"/>
        </w:rPr>
        <w:t xml:space="preserve">(September), 1211–1219. </w:t>
      </w:r>
    </w:p>
    <w:p w14:paraId="7D72DEBB" w14:textId="77777777" w:rsidR="00D0403E"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49338A">
        <w:rPr>
          <w:rFonts w:ascii="Times New Roman" w:eastAsia="Times New Roman" w:hAnsi="Times New Roman" w:cs="Times New Roman"/>
          <w:noProof/>
          <w:sz w:val="20"/>
          <w:szCs w:val="20"/>
        </w:rPr>
        <w:t>International Institute for Population Sciences (IIPS), District Level Household</w:t>
      </w:r>
      <w:r>
        <w:rPr>
          <w:rFonts w:ascii="Times New Roman" w:eastAsia="Times New Roman" w:hAnsi="Times New Roman" w:cs="Times New Roman"/>
          <w:noProof/>
          <w:sz w:val="20"/>
          <w:szCs w:val="20"/>
        </w:rPr>
        <w:t xml:space="preserve"> </w:t>
      </w:r>
      <w:r w:rsidRPr="0049338A">
        <w:rPr>
          <w:rFonts w:ascii="Times New Roman" w:eastAsia="Times New Roman" w:hAnsi="Times New Roman" w:cs="Times New Roman"/>
          <w:noProof/>
          <w:sz w:val="20"/>
          <w:szCs w:val="20"/>
        </w:rPr>
        <w:t>and Facility Survey (DLHS-3), 2007–08, Mumbai, India; 2010.</w:t>
      </w:r>
    </w:p>
    <w:p w14:paraId="3AD79702" w14:textId="277636D0" w:rsidR="00D0403E" w:rsidRPr="00CA64D1"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05F8D">
        <w:rPr>
          <w:rFonts w:ascii="Times New Roman" w:eastAsia="Times New Roman" w:hAnsi="Times New Roman" w:cs="Times New Roman"/>
          <w:noProof/>
          <w:sz w:val="20"/>
          <w:szCs w:val="20"/>
        </w:rPr>
        <w:fldChar w:fldCharType="begin" w:fldLock="1"/>
      </w:r>
      <w:r w:rsidRPr="00905F8D">
        <w:rPr>
          <w:rFonts w:ascii="Times New Roman" w:eastAsia="Times New Roman" w:hAnsi="Times New Roman" w:cs="Times New Roman"/>
          <w:noProof/>
          <w:sz w:val="20"/>
          <w:szCs w:val="20"/>
        </w:rPr>
        <w:instrText xml:space="preserve">ADDIN Mendeley Bibliography CSL_BIBLIOGRAPHY </w:instrText>
      </w:r>
      <w:r w:rsidRPr="00905F8D">
        <w:rPr>
          <w:rFonts w:ascii="Times New Roman" w:eastAsia="Times New Roman" w:hAnsi="Times New Roman" w:cs="Times New Roman"/>
          <w:noProof/>
          <w:sz w:val="20"/>
          <w:szCs w:val="20"/>
        </w:rPr>
        <w:fldChar w:fldCharType="separate"/>
      </w:r>
      <w:r w:rsidRPr="00905F8D">
        <w:rPr>
          <w:rFonts w:ascii="Times New Roman" w:eastAsia="Times New Roman" w:hAnsi="Times New Roman" w:cs="Times New Roman"/>
          <w:noProof/>
          <w:sz w:val="20"/>
          <w:szCs w:val="20"/>
        </w:rPr>
        <w:t xml:space="preserve">Jogdand, K., &amp; Yerpude, P. (2011). A community based study on menstrual hygiene among adolescent girls. </w:t>
      </w:r>
      <w:r w:rsidRPr="00905F8D">
        <w:rPr>
          <w:rFonts w:ascii="Times New Roman" w:eastAsia="Times New Roman" w:hAnsi="Times New Roman" w:cs="Times New Roman"/>
          <w:i/>
          <w:noProof/>
          <w:sz w:val="20"/>
          <w:szCs w:val="20"/>
        </w:rPr>
        <w:t>Indian Journal of Maternal and Child Health, 13</w:t>
      </w:r>
      <w:r w:rsidRPr="00905F8D">
        <w:rPr>
          <w:rFonts w:ascii="Times New Roman" w:eastAsia="Times New Roman" w:hAnsi="Times New Roman" w:cs="Times New Roman"/>
          <w:noProof/>
          <w:sz w:val="20"/>
          <w:szCs w:val="20"/>
        </w:rPr>
        <w:t>(3), 1–6.</w:t>
      </w:r>
      <w:r w:rsidRPr="00905F8D">
        <w:rPr>
          <w:rFonts w:ascii="Times New Roman" w:eastAsia="Times New Roman" w:hAnsi="Times New Roman" w:cs="Times New Roman"/>
          <w:noProof/>
          <w:sz w:val="20"/>
          <w:szCs w:val="20"/>
        </w:rPr>
        <w:fldChar w:fldCharType="end"/>
      </w:r>
    </w:p>
    <w:p w14:paraId="7BC8F0EE" w14:textId="7D21838E"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Juyal, R., Kandpal, S. ., &amp; Semwal, J. (2014). Menstrual hygiene and reproductive morbidity in adolescent girls in Dehradun, India. </w:t>
      </w:r>
      <w:r w:rsidRPr="009912CA">
        <w:rPr>
          <w:rFonts w:ascii="Times New Roman" w:eastAsia="Times New Roman" w:hAnsi="Times New Roman" w:cs="Times New Roman"/>
          <w:i/>
          <w:iCs/>
          <w:noProof/>
          <w:sz w:val="20"/>
          <w:szCs w:val="20"/>
        </w:rPr>
        <w:t>Bangladesh Journal of Medical Science</w:t>
      </w:r>
      <w:r w:rsidRPr="009912CA">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iCs/>
          <w:noProof/>
          <w:sz w:val="20"/>
          <w:szCs w:val="20"/>
        </w:rPr>
        <w:t>13</w:t>
      </w:r>
      <w:r w:rsidRPr="009912CA">
        <w:rPr>
          <w:rFonts w:ascii="Times New Roman" w:eastAsia="Times New Roman" w:hAnsi="Times New Roman" w:cs="Times New Roman"/>
          <w:noProof/>
          <w:sz w:val="20"/>
          <w:szCs w:val="20"/>
        </w:rPr>
        <w:t>(2), 8–12.</w:t>
      </w:r>
    </w:p>
    <w:p w14:paraId="66CFC60E" w14:textId="09C0CF0F"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color w:val="0000FF"/>
          <w:sz w:val="20"/>
          <w:szCs w:val="20"/>
        </w:rPr>
      </w:pPr>
      <w:r w:rsidRPr="009912CA">
        <w:rPr>
          <w:rFonts w:ascii="Times New Roman" w:eastAsia="Times New Roman" w:hAnsi="Times New Roman" w:cs="Times New Roman"/>
          <w:noProof/>
          <w:sz w:val="20"/>
          <w:szCs w:val="20"/>
        </w:rPr>
        <w:t xml:space="preserve">Juyal, R., Kandpal, S. D., &amp; Semwal, J. (2013). Social aspects of menstruation related practices in adolescent girls of district Dehradun. </w:t>
      </w:r>
      <w:r w:rsidRPr="009912CA">
        <w:rPr>
          <w:rFonts w:ascii="Times New Roman" w:eastAsia="Times New Roman" w:hAnsi="Times New Roman" w:cs="Times New Roman"/>
          <w:i/>
          <w:iCs/>
          <w:noProof/>
          <w:sz w:val="20"/>
          <w:szCs w:val="20"/>
        </w:rPr>
        <w:t xml:space="preserve">Indian Journal of Community Health, </w:t>
      </w:r>
      <w:r w:rsidRPr="009912CA">
        <w:rPr>
          <w:rFonts w:ascii="Times New Roman" w:eastAsia="Times New Roman" w:hAnsi="Times New Roman" w:cs="Times New Roman"/>
          <w:i/>
          <w:iCs/>
          <w:noProof/>
          <w:color w:val="000000" w:themeColor="text1"/>
          <w:sz w:val="20"/>
          <w:szCs w:val="20"/>
        </w:rPr>
        <w:t>25</w:t>
      </w:r>
      <w:r w:rsidRPr="009912CA">
        <w:rPr>
          <w:rFonts w:ascii="Times New Roman" w:eastAsia="Times New Roman" w:hAnsi="Times New Roman" w:cs="Times New Roman"/>
          <w:iCs/>
          <w:noProof/>
          <w:color w:val="000000" w:themeColor="text1"/>
          <w:sz w:val="20"/>
          <w:szCs w:val="20"/>
        </w:rPr>
        <w:t>(3)</w:t>
      </w:r>
      <w:r w:rsidRPr="009912CA">
        <w:rPr>
          <w:rFonts w:ascii="Times New Roman" w:eastAsia="Times New Roman" w:hAnsi="Times New Roman" w:cs="Times New Roman"/>
          <w:noProof/>
          <w:color w:val="000000" w:themeColor="text1"/>
          <w:sz w:val="20"/>
          <w:szCs w:val="20"/>
        </w:rPr>
        <w:t>, 213-6</w:t>
      </w:r>
    </w:p>
    <w:p w14:paraId="4BEE00FE" w14:textId="44D4184A"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Juyal, R., Kandpal, S. D., &amp; Semwal, J. (2014). Menstrual hygiene and reproductive morbidity in adolescent girls in Dehradun, India. </w:t>
      </w:r>
      <w:r w:rsidRPr="009912CA">
        <w:rPr>
          <w:rFonts w:ascii="Times New Roman" w:eastAsia="Times New Roman" w:hAnsi="Times New Roman" w:cs="Times New Roman"/>
          <w:i/>
          <w:iCs/>
          <w:noProof/>
          <w:sz w:val="20"/>
          <w:szCs w:val="20"/>
        </w:rPr>
        <w:t>Bangladesh Journal of Medical Science</w:t>
      </w:r>
      <w:r w:rsidRPr="009912CA">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iCs/>
          <w:noProof/>
          <w:sz w:val="20"/>
          <w:szCs w:val="20"/>
        </w:rPr>
        <w:t>13</w:t>
      </w:r>
      <w:r w:rsidRPr="009912CA">
        <w:rPr>
          <w:rFonts w:ascii="Times New Roman" w:eastAsia="Times New Roman" w:hAnsi="Times New Roman" w:cs="Times New Roman"/>
          <w:noProof/>
          <w:sz w:val="20"/>
          <w:szCs w:val="20"/>
        </w:rPr>
        <w:t xml:space="preserve">(2), 170–174. </w:t>
      </w:r>
    </w:p>
    <w:p w14:paraId="04A8FE6C" w14:textId="0BB8FA9D" w:rsidR="00D0403E" w:rsidRPr="00CA64D1"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Juyal, R., Kandpal, S. D., Semwal,</w:t>
      </w:r>
      <w:r w:rsidRPr="00CA64D1">
        <w:rPr>
          <w:rFonts w:ascii="Times New Roman" w:eastAsia="Times New Roman" w:hAnsi="Times New Roman" w:cs="Times New Roman"/>
          <w:noProof/>
          <w:sz w:val="20"/>
          <w:szCs w:val="20"/>
        </w:rPr>
        <w:t xml:space="preserve"> J., &amp; Negi, K. S. (2012, July 19). Practices of menstrual hygiene among adolescent girls in a district of </w:t>
      </w:r>
      <w:r w:rsidR="00786E6B">
        <w:rPr>
          <w:rFonts w:ascii="Times New Roman" w:eastAsia="Times New Roman" w:hAnsi="Times New Roman" w:cs="Times New Roman"/>
          <w:noProof/>
          <w:sz w:val="20"/>
          <w:szCs w:val="20"/>
        </w:rPr>
        <w:t>U</w:t>
      </w:r>
      <w:r w:rsidRPr="00CA64D1">
        <w:rPr>
          <w:rFonts w:ascii="Times New Roman" w:eastAsia="Times New Roman" w:hAnsi="Times New Roman" w:cs="Times New Roman"/>
          <w:noProof/>
          <w:sz w:val="20"/>
          <w:szCs w:val="20"/>
        </w:rPr>
        <w:t xml:space="preserve">ttarakhand. </w:t>
      </w:r>
      <w:r w:rsidRPr="00CA64D1">
        <w:rPr>
          <w:rFonts w:ascii="Times New Roman" w:eastAsia="Times New Roman" w:hAnsi="Times New Roman" w:cs="Times New Roman"/>
          <w:i/>
          <w:iCs/>
          <w:noProof/>
          <w:sz w:val="20"/>
          <w:szCs w:val="20"/>
        </w:rPr>
        <w:t>Indian Journal of Community Health</w:t>
      </w:r>
      <w:r w:rsidRPr="00CA64D1">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noProof/>
          <w:sz w:val="20"/>
          <w:szCs w:val="20"/>
        </w:rPr>
        <w:t>24</w:t>
      </w:r>
      <w:r>
        <w:rPr>
          <w:rFonts w:ascii="Times New Roman" w:eastAsia="Times New Roman" w:hAnsi="Times New Roman" w:cs="Times New Roman"/>
          <w:noProof/>
          <w:sz w:val="20"/>
          <w:szCs w:val="20"/>
        </w:rPr>
        <w:t>(2), 1</w:t>
      </w:r>
      <w:r w:rsidRPr="009912CA">
        <w:rPr>
          <w:rFonts w:ascii="Times New Roman" w:eastAsia="Times New Roman" w:hAnsi="Times New Roman" w:cs="Times New Roman"/>
          <w:noProof/>
          <w:color w:val="000000" w:themeColor="text1"/>
          <w:sz w:val="20"/>
          <w:szCs w:val="20"/>
        </w:rPr>
        <w:t>24-8</w:t>
      </w:r>
      <w:r w:rsidRPr="009912CA">
        <w:rPr>
          <w:rFonts w:ascii="Times New Roman" w:eastAsia="Times New Roman" w:hAnsi="Times New Roman" w:cs="Times New Roman"/>
          <w:i/>
          <w:iCs/>
          <w:noProof/>
          <w:color w:val="000000" w:themeColor="text1"/>
          <w:sz w:val="20"/>
          <w:szCs w:val="20"/>
        </w:rPr>
        <w:t>.</w:t>
      </w:r>
    </w:p>
    <w:p w14:paraId="62352928" w14:textId="527318E0"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color w:val="0000FF"/>
          <w:sz w:val="20"/>
          <w:szCs w:val="20"/>
        </w:rPr>
      </w:pPr>
      <w:r w:rsidRPr="009912CA">
        <w:rPr>
          <w:rFonts w:ascii="Times New Roman" w:eastAsia="Times New Roman" w:hAnsi="Times New Roman" w:cs="Times New Roman"/>
          <w:noProof/>
          <w:sz w:val="20"/>
          <w:szCs w:val="20"/>
        </w:rPr>
        <w:t xml:space="preserve">Katiyar, K., Chopra, H., Garg, S. K., Bajpai, S., Bano, T., Jain, S., &amp; Kumar, A. (2013, December 2). KAP study of menstrual problems in adolescent females in an urban area of </w:t>
      </w:r>
      <w:r w:rsidR="00786E6B">
        <w:rPr>
          <w:rFonts w:ascii="Times New Roman" w:eastAsia="Times New Roman" w:hAnsi="Times New Roman" w:cs="Times New Roman"/>
          <w:noProof/>
          <w:sz w:val="20"/>
          <w:szCs w:val="20"/>
        </w:rPr>
        <w:t>M</w:t>
      </w:r>
      <w:r w:rsidRPr="009912CA">
        <w:rPr>
          <w:rFonts w:ascii="Times New Roman" w:eastAsia="Times New Roman" w:hAnsi="Times New Roman" w:cs="Times New Roman"/>
          <w:noProof/>
          <w:sz w:val="20"/>
          <w:szCs w:val="20"/>
        </w:rPr>
        <w:t xml:space="preserve">eerut. </w:t>
      </w:r>
      <w:r w:rsidRPr="009912CA">
        <w:rPr>
          <w:rFonts w:ascii="Times New Roman" w:eastAsia="Times New Roman" w:hAnsi="Times New Roman" w:cs="Times New Roman"/>
          <w:i/>
          <w:iCs/>
          <w:noProof/>
          <w:sz w:val="20"/>
          <w:szCs w:val="20"/>
        </w:rPr>
        <w:t>Indian Journal of Community Health</w:t>
      </w:r>
      <w:r w:rsidRPr="009912CA">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noProof/>
          <w:sz w:val="20"/>
          <w:szCs w:val="20"/>
        </w:rPr>
        <w:t>25</w:t>
      </w:r>
      <w:r>
        <w:rPr>
          <w:rFonts w:ascii="Times New Roman" w:eastAsia="Times New Roman" w:hAnsi="Times New Roman" w:cs="Times New Roman"/>
          <w:noProof/>
          <w:sz w:val="20"/>
          <w:szCs w:val="20"/>
        </w:rPr>
        <w:t>(3), 217-20</w:t>
      </w:r>
      <w:r w:rsidRPr="009912CA">
        <w:rPr>
          <w:rFonts w:ascii="Times New Roman" w:eastAsia="Times New Roman" w:hAnsi="Times New Roman" w:cs="Times New Roman"/>
          <w:i/>
          <w:iCs/>
          <w:noProof/>
          <w:color w:val="000000" w:themeColor="text1"/>
          <w:sz w:val="20"/>
          <w:szCs w:val="20"/>
        </w:rPr>
        <w:t>.</w:t>
      </w:r>
    </w:p>
    <w:p w14:paraId="2C78DF04" w14:textId="77777777" w:rsidR="00D0403E"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Khanna,  A. (2005). Menstrual</w:t>
      </w:r>
      <w:r w:rsidRPr="00CA64D1">
        <w:rPr>
          <w:rFonts w:ascii="Times New Roman" w:eastAsia="Times New Roman" w:hAnsi="Times New Roman" w:cs="Times New Roman"/>
          <w:noProof/>
          <w:sz w:val="20"/>
          <w:szCs w:val="20"/>
        </w:rPr>
        <w:t xml:space="preserve"> </w:t>
      </w:r>
      <w:r>
        <w:rPr>
          <w:rFonts w:ascii="Times New Roman" w:eastAsia="Times New Roman" w:hAnsi="Times New Roman" w:cs="Times New Roman"/>
          <w:noProof/>
          <w:sz w:val="20"/>
          <w:szCs w:val="20"/>
        </w:rPr>
        <w:t>p</w:t>
      </w:r>
      <w:r w:rsidRPr="00CA64D1">
        <w:rPr>
          <w:rFonts w:ascii="Times New Roman" w:eastAsia="Times New Roman" w:hAnsi="Times New Roman" w:cs="Times New Roman"/>
          <w:noProof/>
          <w:sz w:val="20"/>
          <w:szCs w:val="20"/>
        </w:rPr>
        <w:t xml:space="preserve">ractices and </w:t>
      </w:r>
      <w:r>
        <w:rPr>
          <w:rFonts w:ascii="Times New Roman" w:eastAsia="Times New Roman" w:hAnsi="Times New Roman" w:cs="Times New Roman"/>
          <w:noProof/>
          <w:sz w:val="20"/>
          <w:szCs w:val="20"/>
        </w:rPr>
        <w:t>r</w:t>
      </w:r>
      <w:r w:rsidRPr="00CA64D1">
        <w:rPr>
          <w:rFonts w:ascii="Times New Roman" w:eastAsia="Times New Roman" w:hAnsi="Times New Roman" w:cs="Times New Roman"/>
          <w:noProof/>
          <w:sz w:val="20"/>
          <w:szCs w:val="20"/>
        </w:rPr>
        <w:t xml:space="preserve">eproductive </w:t>
      </w:r>
      <w:r>
        <w:rPr>
          <w:rFonts w:ascii="Times New Roman" w:eastAsia="Times New Roman" w:hAnsi="Times New Roman" w:cs="Times New Roman"/>
          <w:noProof/>
          <w:sz w:val="20"/>
          <w:szCs w:val="20"/>
        </w:rPr>
        <w:t>p</w:t>
      </w:r>
      <w:r w:rsidRPr="00CA64D1">
        <w:rPr>
          <w:rFonts w:ascii="Times New Roman" w:eastAsia="Times New Roman" w:hAnsi="Times New Roman" w:cs="Times New Roman"/>
          <w:noProof/>
          <w:sz w:val="20"/>
          <w:szCs w:val="20"/>
        </w:rPr>
        <w:t xml:space="preserve">roblems: A </w:t>
      </w:r>
      <w:r>
        <w:rPr>
          <w:rFonts w:ascii="Times New Roman" w:eastAsia="Times New Roman" w:hAnsi="Times New Roman" w:cs="Times New Roman"/>
          <w:noProof/>
          <w:sz w:val="20"/>
          <w:szCs w:val="20"/>
        </w:rPr>
        <w:t>s</w:t>
      </w:r>
      <w:r w:rsidRPr="00CA64D1">
        <w:rPr>
          <w:rFonts w:ascii="Times New Roman" w:eastAsia="Times New Roman" w:hAnsi="Times New Roman" w:cs="Times New Roman"/>
          <w:noProof/>
          <w:sz w:val="20"/>
          <w:szCs w:val="20"/>
        </w:rPr>
        <w:t xml:space="preserve">tudy of </w:t>
      </w:r>
      <w:r>
        <w:rPr>
          <w:rFonts w:ascii="Times New Roman" w:eastAsia="Times New Roman" w:hAnsi="Times New Roman" w:cs="Times New Roman"/>
          <w:noProof/>
          <w:sz w:val="20"/>
          <w:szCs w:val="20"/>
        </w:rPr>
        <w:t>a</w:t>
      </w:r>
      <w:r w:rsidRPr="00CA64D1">
        <w:rPr>
          <w:rFonts w:ascii="Times New Roman" w:eastAsia="Times New Roman" w:hAnsi="Times New Roman" w:cs="Times New Roman"/>
          <w:noProof/>
          <w:sz w:val="20"/>
          <w:szCs w:val="20"/>
        </w:rPr>
        <w:t xml:space="preserve">dolescent </w:t>
      </w:r>
      <w:r>
        <w:rPr>
          <w:rFonts w:ascii="Times New Roman" w:eastAsia="Times New Roman" w:hAnsi="Times New Roman" w:cs="Times New Roman"/>
          <w:noProof/>
          <w:sz w:val="20"/>
          <w:szCs w:val="20"/>
        </w:rPr>
        <w:t>g</w:t>
      </w:r>
      <w:r w:rsidRPr="00CA64D1">
        <w:rPr>
          <w:rFonts w:ascii="Times New Roman" w:eastAsia="Times New Roman" w:hAnsi="Times New Roman" w:cs="Times New Roman"/>
          <w:noProof/>
          <w:sz w:val="20"/>
          <w:szCs w:val="20"/>
        </w:rPr>
        <w:t xml:space="preserve">irls in Rajasthan. </w:t>
      </w:r>
      <w:r w:rsidRPr="00CA64D1">
        <w:rPr>
          <w:rFonts w:ascii="Times New Roman" w:eastAsia="Times New Roman" w:hAnsi="Times New Roman" w:cs="Times New Roman"/>
          <w:i/>
          <w:iCs/>
          <w:noProof/>
          <w:sz w:val="20"/>
          <w:szCs w:val="20"/>
        </w:rPr>
        <w:t>Journal of Health Management</w:t>
      </w:r>
      <w:r w:rsidRPr="00CA64D1">
        <w:rPr>
          <w:rFonts w:ascii="Times New Roman" w:eastAsia="Times New Roman" w:hAnsi="Times New Roman" w:cs="Times New Roman"/>
          <w:noProof/>
          <w:sz w:val="20"/>
          <w:szCs w:val="20"/>
        </w:rPr>
        <w:t xml:space="preserve">, </w:t>
      </w:r>
      <w:r w:rsidRPr="00CA64D1">
        <w:rPr>
          <w:rFonts w:ascii="Times New Roman" w:eastAsia="Times New Roman" w:hAnsi="Times New Roman" w:cs="Times New Roman"/>
          <w:i/>
          <w:iCs/>
          <w:noProof/>
          <w:sz w:val="20"/>
          <w:szCs w:val="20"/>
        </w:rPr>
        <w:t>7</w:t>
      </w:r>
      <w:r>
        <w:rPr>
          <w:rFonts w:ascii="Times New Roman" w:eastAsia="Times New Roman" w:hAnsi="Times New Roman" w:cs="Times New Roman"/>
          <w:noProof/>
          <w:sz w:val="20"/>
          <w:szCs w:val="20"/>
        </w:rPr>
        <w:t>(1), 91–107.</w:t>
      </w:r>
    </w:p>
    <w:p w14:paraId="34105D1E" w14:textId="73ACE6BB" w:rsidR="00D0403E" w:rsidRPr="00CA64D1"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Kumar, R., Singh, M. M., Kaur, A., &amp; Kaur, M. (1995). Reproductive health behaviour of rural women. </w:t>
      </w:r>
      <w:r w:rsidRPr="009912CA">
        <w:rPr>
          <w:rFonts w:ascii="Times New Roman" w:eastAsia="Times New Roman" w:hAnsi="Times New Roman" w:cs="Times New Roman"/>
          <w:i/>
          <w:noProof/>
          <w:sz w:val="20"/>
          <w:szCs w:val="20"/>
        </w:rPr>
        <w:t>Journal of the Indian Medical Association, 93</w:t>
      </w:r>
      <w:r w:rsidRPr="009912CA">
        <w:rPr>
          <w:rFonts w:ascii="Times New Roman" w:eastAsia="Times New Roman" w:hAnsi="Times New Roman" w:cs="Times New Roman"/>
          <w:noProof/>
          <w:sz w:val="20"/>
          <w:szCs w:val="20"/>
        </w:rPr>
        <w:t xml:space="preserve">(4), 129–131, 128. </w:t>
      </w:r>
    </w:p>
    <w:p w14:paraId="72D1185E" w14:textId="4B1C8779"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Lawes, C. M., Hoorn, S. Vander, &amp; Rodgers, A. (2008). Global burden of blood-pressure-related disease, 2001. </w:t>
      </w:r>
      <w:r w:rsidRPr="009912CA">
        <w:rPr>
          <w:rFonts w:ascii="Times New Roman" w:eastAsia="Times New Roman" w:hAnsi="Times New Roman" w:cs="Times New Roman"/>
          <w:i/>
          <w:iCs/>
          <w:noProof/>
          <w:sz w:val="20"/>
          <w:szCs w:val="20"/>
        </w:rPr>
        <w:t>The Lancet</w:t>
      </w:r>
      <w:r w:rsidRPr="009912CA">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iCs/>
          <w:noProof/>
          <w:sz w:val="20"/>
          <w:szCs w:val="20"/>
        </w:rPr>
        <w:t>371</w:t>
      </w:r>
      <w:r w:rsidRPr="009912CA">
        <w:rPr>
          <w:rFonts w:ascii="Times New Roman" w:eastAsia="Times New Roman" w:hAnsi="Times New Roman" w:cs="Times New Roman"/>
          <w:noProof/>
          <w:sz w:val="20"/>
          <w:szCs w:val="20"/>
        </w:rPr>
        <w:t>(9623), 1513–1518.</w:t>
      </w:r>
    </w:p>
    <w:p w14:paraId="5AA0D17F" w14:textId="51498B93"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Mahon, T., &amp; Fernandes, M. (2010). Menstrual hygiene in South Asia: a neglected issue for WASH (water, sanitation and hygiene) programmes. </w:t>
      </w:r>
      <w:r w:rsidRPr="009912CA">
        <w:rPr>
          <w:rFonts w:ascii="Times New Roman" w:eastAsia="Times New Roman" w:hAnsi="Times New Roman" w:cs="Times New Roman"/>
          <w:i/>
          <w:iCs/>
          <w:noProof/>
          <w:sz w:val="20"/>
          <w:szCs w:val="20"/>
        </w:rPr>
        <w:t>Gender &amp; Development</w:t>
      </w:r>
      <w:r w:rsidRPr="009912CA">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iCs/>
          <w:noProof/>
          <w:sz w:val="20"/>
          <w:szCs w:val="20"/>
        </w:rPr>
        <w:t>18</w:t>
      </w:r>
      <w:r w:rsidRPr="009912CA">
        <w:rPr>
          <w:rFonts w:ascii="Times New Roman" w:eastAsia="Times New Roman" w:hAnsi="Times New Roman" w:cs="Times New Roman"/>
          <w:noProof/>
          <w:sz w:val="20"/>
          <w:szCs w:val="20"/>
        </w:rPr>
        <w:t>(1), 99–113.</w:t>
      </w:r>
    </w:p>
    <w:p w14:paraId="6691DF02" w14:textId="0D7C59CD"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Mohite, R. V, &amp; Mohite, V. R. (2013). Correlates of the menstrual problems among rural college students of Satara district. </w:t>
      </w:r>
      <w:r w:rsidRPr="009912CA">
        <w:rPr>
          <w:rFonts w:ascii="Times New Roman" w:eastAsia="Times New Roman" w:hAnsi="Times New Roman" w:cs="Times New Roman"/>
          <w:i/>
          <w:iCs/>
          <w:noProof/>
          <w:sz w:val="20"/>
          <w:szCs w:val="20"/>
        </w:rPr>
        <w:t>Al Ameen Journal of Medical Sciences</w:t>
      </w:r>
      <w:r w:rsidRPr="009912CA">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iCs/>
          <w:noProof/>
          <w:sz w:val="20"/>
          <w:szCs w:val="20"/>
        </w:rPr>
        <w:t>6</w:t>
      </w:r>
      <w:r w:rsidRPr="009912CA">
        <w:rPr>
          <w:rFonts w:ascii="Times New Roman" w:eastAsia="Times New Roman" w:hAnsi="Times New Roman" w:cs="Times New Roman"/>
          <w:noProof/>
          <w:sz w:val="20"/>
          <w:szCs w:val="20"/>
        </w:rPr>
        <w:t>(3), 213–218.</w:t>
      </w:r>
    </w:p>
    <w:p w14:paraId="052542D2" w14:textId="768DC750" w:rsidR="00D0403E" w:rsidRPr="00CA64D1"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Mudey, A. B., Kesharwani, N., Mudey, G. A</w:t>
      </w:r>
      <w:r>
        <w:rPr>
          <w:rFonts w:ascii="Times New Roman" w:eastAsia="Times New Roman" w:hAnsi="Times New Roman" w:cs="Times New Roman"/>
          <w:noProof/>
          <w:sz w:val="20"/>
          <w:szCs w:val="20"/>
        </w:rPr>
        <w:t>., &amp; Goyal, R. C. (2010). A c</w:t>
      </w:r>
      <w:r w:rsidRPr="00CA64D1">
        <w:rPr>
          <w:rFonts w:ascii="Times New Roman" w:eastAsia="Times New Roman" w:hAnsi="Times New Roman" w:cs="Times New Roman"/>
          <w:noProof/>
          <w:sz w:val="20"/>
          <w:szCs w:val="20"/>
        </w:rPr>
        <w:t xml:space="preserve">ross-sectional </w:t>
      </w:r>
      <w:r>
        <w:rPr>
          <w:rFonts w:ascii="Times New Roman" w:eastAsia="Times New Roman" w:hAnsi="Times New Roman" w:cs="Times New Roman"/>
          <w:noProof/>
          <w:sz w:val="20"/>
          <w:szCs w:val="20"/>
        </w:rPr>
        <w:t>study on a</w:t>
      </w:r>
      <w:r w:rsidRPr="00CA64D1">
        <w:rPr>
          <w:rFonts w:ascii="Times New Roman" w:eastAsia="Times New Roman" w:hAnsi="Times New Roman" w:cs="Times New Roman"/>
          <w:noProof/>
          <w:sz w:val="20"/>
          <w:szCs w:val="20"/>
        </w:rPr>
        <w:t xml:space="preserve">wareness </w:t>
      </w:r>
      <w:r>
        <w:rPr>
          <w:rFonts w:ascii="Times New Roman" w:eastAsia="Times New Roman" w:hAnsi="Times New Roman" w:cs="Times New Roman"/>
          <w:noProof/>
          <w:sz w:val="20"/>
          <w:szCs w:val="20"/>
        </w:rPr>
        <w:t>r</w:t>
      </w:r>
      <w:r w:rsidRPr="00CA64D1">
        <w:rPr>
          <w:rFonts w:ascii="Times New Roman" w:eastAsia="Times New Roman" w:hAnsi="Times New Roman" w:cs="Times New Roman"/>
          <w:noProof/>
          <w:sz w:val="20"/>
          <w:szCs w:val="20"/>
        </w:rPr>
        <w:t xml:space="preserve">egarding </w:t>
      </w:r>
      <w:r>
        <w:rPr>
          <w:rFonts w:ascii="Times New Roman" w:eastAsia="Times New Roman" w:hAnsi="Times New Roman" w:cs="Times New Roman"/>
          <w:noProof/>
          <w:sz w:val="20"/>
          <w:szCs w:val="20"/>
        </w:rPr>
        <w:t>s</w:t>
      </w:r>
      <w:r w:rsidRPr="00CA64D1">
        <w:rPr>
          <w:rFonts w:ascii="Times New Roman" w:eastAsia="Times New Roman" w:hAnsi="Times New Roman" w:cs="Times New Roman"/>
          <w:noProof/>
          <w:sz w:val="20"/>
          <w:szCs w:val="20"/>
        </w:rPr>
        <w:t xml:space="preserve">afe and </w:t>
      </w:r>
      <w:r>
        <w:rPr>
          <w:rFonts w:ascii="Times New Roman" w:eastAsia="Times New Roman" w:hAnsi="Times New Roman" w:cs="Times New Roman"/>
          <w:noProof/>
          <w:sz w:val="20"/>
          <w:szCs w:val="20"/>
        </w:rPr>
        <w:t>h</w:t>
      </w:r>
      <w:r w:rsidRPr="00CA64D1">
        <w:rPr>
          <w:rFonts w:ascii="Times New Roman" w:eastAsia="Times New Roman" w:hAnsi="Times New Roman" w:cs="Times New Roman"/>
          <w:noProof/>
          <w:sz w:val="20"/>
          <w:szCs w:val="20"/>
        </w:rPr>
        <w:t xml:space="preserve">ygienic </w:t>
      </w:r>
      <w:r>
        <w:rPr>
          <w:rFonts w:ascii="Times New Roman" w:eastAsia="Times New Roman" w:hAnsi="Times New Roman" w:cs="Times New Roman"/>
          <w:noProof/>
          <w:sz w:val="20"/>
          <w:szCs w:val="20"/>
        </w:rPr>
        <w:t>p</w:t>
      </w:r>
      <w:r w:rsidRPr="00CA64D1">
        <w:rPr>
          <w:rFonts w:ascii="Times New Roman" w:eastAsia="Times New Roman" w:hAnsi="Times New Roman" w:cs="Times New Roman"/>
          <w:noProof/>
          <w:sz w:val="20"/>
          <w:szCs w:val="20"/>
        </w:rPr>
        <w:t xml:space="preserve">ractices amongst </w:t>
      </w:r>
      <w:r>
        <w:rPr>
          <w:rFonts w:ascii="Times New Roman" w:eastAsia="Times New Roman" w:hAnsi="Times New Roman" w:cs="Times New Roman"/>
          <w:noProof/>
          <w:sz w:val="20"/>
          <w:szCs w:val="20"/>
        </w:rPr>
        <w:t>s</w:t>
      </w:r>
      <w:r w:rsidRPr="00CA64D1">
        <w:rPr>
          <w:rFonts w:ascii="Times New Roman" w:eastAsia="Times New Roman" w:hAnsi="Times New Roman" w:cs="Times New Roman"/>
          <w:noProof/>
          <w:sz w:val="20"/>
          <w:szCs w:val="20"/>
        </w:rPr>
        <w:t xml:space="preserve">chool </w:t>
      </w:r>
      <w:r>
        <w:rPr>
          <w:rFonts w:ascii="Times New Roman" w:eastAsia="Times New Roman" w:hAnsi="Times New Roman" w:cs="Times New Roman"/>
          <w:noProof/>
          <w:sz w:val="20"/>
          <w:szCs w:val="20"/>
        </w:rPr>
        <w:t>going a</w:t>
      </w:r>
      <w:r w:rsidRPr="00CA64D1">
        <w:rPr>
          <w:rFonts w:ascii="Times New Roman" w:eastAsia="Times New Roman" w:hAnsi="Times New Roman" w:cs="Times New Roman"/>
          <w:noProof/>
          <w:sz w:val="20"/>
          <w:szCs w:val="20"/>
        </w:rPr>
        <w:t xml:space="preserve">dolescent </w:t>
      </w:r>
      <w:r>
        <w:rPr>
          <w:rFonts w:ascii="Times New Roman" w:eastAsia="Times New Roman" w:hAnsi="Times New Roman" w:cs="Times New Roman"/>
          <w:noProof/>
          <w:sz w:val="20"/>
          <w:szCs w:val="20"/>
        </w:rPr>
        <w:t>girls in r</w:t>
      </w:r>
      <w:r w:rsidRPr="00CA64D1">
        <w:rPr>
          <w:rFonts w:ascii="Times New Roman" w:eastAsia="Times New Roman" w:hAnsi="Times New Roman" w:cs="Times New Roman"/>
          <w:noProof/>
          <w:sz w:val="20"/>
          <w:szCs w:val="20"/>
        </w:rPr>
        <w:t xml:space="preserve">ural </w:t>
      </w:r>
      <w:r>
        <w:rPr>
          <w:rFonts w:ascii="Times New Roman" w:eastAsia="Times New Roman" w:hAnsi="Times New Roman" w:cs="Times New Roman"/>
          <w:noProof/>
          <w:sz w:val="20"/>
          <w:szCs w:val="20"/>
        </w:rPr>
        <w:t>a</w:t>
      </w:r>
      <w:r w:rsidRPr="00CA64D1">
        <w:rPr>
          <w:rFonts w:ascii="Times New Roman" w:eastAsia="Times New Roman" w:hAnsi="Times New Roman" w:cs="Times New Roman"/>
          <w:noProof/>
          <w:sz w:val="20"/>
          <w:szCs w:val="20"/>
        </w:rPr>
        <w:t xml:space="preserve">rea of Wardha District, India. </w:t>
      </w:r>
      <w:r w:rsidRPr="00CA64D1">
        <w:rPr>
          <w:rFonts w:ascii="Times New Roman" w:eastAsia="Times New Roman" w:hAnsi="Times New Roman" w:cs="Times New Roman"/>
          <w:i/>
          <w:iCs/>
          <w:noProof/>
          <w:sz w:val="20"/>
          <w:szCs w:val="20"/>
        </w:rPr>
        <w:t>Global Journal of Health Science</w:t>
      </w:r>
      <w:r w:rsidRPr="00CA64D1">
        <w:rPr>
          <w:rFonts w:ascii="Times New Roman" w:eastAsia="Times New Roman" w:hAnsi="Times New Roman" w:cs="Times New Roman"/>
          <w:noProof/>
          <w:sz w:val="20"/>
          <w:szCs w:val="20"/>
        </w:rPr>
        <w:t xml:space="preserve">, </w:t>
      </w:r>
      <w:r w:rsidRPr="00CA64D1">
        <w:rPr>
          <w:rFonts w:ascii="Times New Roman" w:eastAsia="Times New Roman" w:hAnsi="Times New Roman" w:cs="Times New Roman"/>
          <w:i/>
          <w:iCs/>
          <w:noProof/>
          <w:sz w:val="20"/>
          <w:szCs w:val="20"/>
        </w:rPr>
        <w:t>2</w:t>
      </w:r>
      <w:r w:rsidRPr="00CA64D1">
        <w:rPr>
          <w:rFonts w:ascii="Times New Roman" w:eastAsia="Times New Roman" w:hAnsi="Times New Roman" w:cs="Times New Roman"/>
          <w:noProof/>
          <w:sz w:val="20"/>
          <w:szCs w:val="20"/>
        </w:rPr>
        <w:t>(2), 225–231.</w:t>
      </w:r>
    </w:p>
    <w:p w14:paraId="44655401" w14:textId="382450F5" w:rsidR="00363873" w:rsidRPr="00363873" w:rsidRDefault="00363873" w:rsidP="00D0403E">
      <w:pPr>
        <w:widowControl w:val="0"/>
        <w:autoSpaceDE w:val="0"/>
        <w:autoSpaceDN w:val="0"/>
        <w:adjustRightInd w:val="0"/>
        <w:spacing w:after="0" w:line="240" w:lineRule="auto"/>
        <w:ind w:left="567" w:hanging="567"/>
        <w:jc w:val="both"/>
        <w:rPr>
          <w:rFonts w:ascii="Times New Roman" w:hAnsi="Times New Roman" w:cs="Times New Roman"/>
          <w:sz w:val="20"/>
          <w:szCs w:val="20"/>
        </w:rPr>
      </w:pPr>
      <w:r w:rsidRPr="00363873">
        <w:rPr>
          <w:rFonts w:ascii="Times New Roman" w:eastAsia="Times New Roman" w:hAnsi="Times New Roman" w:cs="Times New Roman"/>
          <w:noProof/>
          <w:sz w:val="20"/>
          <w:szCs w:val="20"/>
        </w:rPr>
        <w:t xml:space="preserve">O’Donnell, O., Doorslaer, E. V., Wagstaff, A., &amp; Lindelow, M. (2008). </w:t>
      </w:r>
      <w:r w:rsidRPr="00363873">
        <w:rPr>
          <w:rFonts w:ascii="Times New Roman" w:hAnsi="Times New Roman" w:cs="Times New Roman"/>
          <w:i/>
          <w:sz w:val="20"/>
          <w:szCs w:val="20"/>
        </w:rPr>
        <w:t>Analyzing health equity using household survey data : A guide to techniques and their implementation.</w:t>
      </w:r>
      <w:r w:rsidRPr="00363873">
        <w:rPr>
          <w:rFonts w:ascii="Times New Roman" w:hAnsi="Times New Roman" w:cs="Times New Roman"/>
          <w:sz w:val="20"/>
          <w:szCs w:val="20"/>
        </w:rPr>
        <w:t xml:space="preserve"> Washington: The International Bank for Reconstruction and Development / The World Bank.</w:t>
      </w:r>
    </w:p>
    <w:p w14:paraId="5292A1E0" w14:textId="64429B72"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Pradhan, J., &amp; Arokiasamy, P. (2010). Socio-economic inequalities in child survival in India: A decomposition analysis. </w:t>
      </w:r>
      <w:r w:rsidRPr="009912CA">
        <w:rPr>
          <w:rFonts w:ascii="Times New Roman" w:eastAsia="Times New Roman" w:hAnsi="Times New Roman" w:cs="Times New Roman"/>
          <w:i/>
          <w:iCs/>
          <w:noProof/>
          <w:sz w:val="20"/>
          <w:szCs w:val="20"/>
        </w:rPr>
        <w:t>Health Policy</w:t>
      </w:r>
      <w:r w:rsidRPr="009912CA">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iCs/>
          <w:noProof/>
          <w:sz w:val="20"/>
          <w:szCs w:val="20"/>
        </w:rPr>
        <w:t>98</w:t>
      </w:r>
      <w:r w:rsidRPr="009912CA">
        <w:rPr>
          <w:rFonts w:ascii="Times New Roman" w:eastAsia="Times New Roman" w:hAnsi="Times New Roman" w:cs="Times New Roman"/>
          <w:noProof/>
          <w:sz w:val="20"/>
          <w:szCs w:val="20"/>
        </w:rPr>
        <w:t xml:space="preserve">(2–3), 114–120. </w:t>
      </w:r>
    </w:p>
    <w:p w14:paraId="1B89EFC3" w14:textId="77777777" w:rsidR="002767EA" w:rsidRDefault="002767EA"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p>
    <w:p w14:paraId="5E58E7C4" w14:textId="70202074"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lastRenderedPageBreak/>
        <w:t xml:space="preserve">Patle, R., Kubde, S., (2014). Comparative study on menstrual hygiene in rural and urban adolescent girls. </w:t>
      </w:r>
      <w:r w:rsidRPr="009912CA">
        <w:rPr>
          <w:rFonts w:ascii="Times New Roman" w:eastAsia="Times New Roman" w:hAnsi="Times New Roman" w:cs="Times New Roman"/>
          <w:i/>
          <w:iCs/>
          <w:noProof/>
          <w:sz w:val="20"/>
          <w:szCs w:val="20"/>
        </w:rPr>
        <w:t>International Journal of Medical Science and Public Health</w:t>
      </w:r>
      <w:r w:rsidRPr="009912CA">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iCs/>
          <w:noProof/>
          <w:sz w:val="20"/>
          <w:szCs w:val="20"/>
        </w:rPr>
        <w:t>3</w:t>
      </w:r>
      <w:r w:rsidRPr="009912CA">
        <w:rPr>
          <w:rFonts w:ascii="Times New Roman" w:eastAsia="Times New Roman" w:hAnsi="Times New Roman" w:cs="Times New Roman"/>
          <w:noProof/>
          <w:sz w:val="20"/>
          <w:szCs w:val="20"/>
        </w:rPr>
        <w:t>(2), 129–132.</w:t>
      </w:r>
    </w:p>
    <w:p w14:paraId="449DCCB1" w14:textId="6A525973" w:rsidR="00EB481E" w:rsidRPr="00EB481E" w:rsidRDefault="00EB481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EB481E">
        <w:rPr>
          <w:rFonts w:ascii="Times New Roman" w:hAnsi="Times New Roman" w:cs="Times New Roman"/>
          <w:sz w:val="20"/>
          <w:szCs w:val="20"/>
        </w:rPr>
        <w:t>Rutstein, S</w:t>
      </w:r>
      <w:r>
        <w:rPr>
          <w:rFonts w:ascii="Times New Roman" w:hAnsi="Times New Roman" w:cs="Times New Roman"/>
          <w:sz w:val="20"/>
          <w:szCs w:val="20"/>
        </w:rPr>
        <w:t xml:space="preserve">. </w:t>
      </w:r>
      <w:r w:rsidRPr="00EB481E">
        <w:rPr>
          <w:rFonts w:ascii="Times New Roman" w:hAnsi="Times New Roman" w:cs="Times New Roman"/>
          <w:sz w:val="20"/>
          <w:szCs w:val="20"/>
        </w:rPr>
        <w:t>O.</w:t>
      </w:r>
      <w:r>
        <w:rPr>
          <w:rFonts w:ascii="Times New Roman" w:hAnsi="Times New Roman" w:cs="Times New Roman"/>
          <w:sz w:val="20"/>
          <w:szCs w:val="20"/>
        </w:rPr>
        <w:t xml:space="preserve">, &amp; </w:t>
      </w:r>
      <w:r w:rsidRPr="00EB481E">
        <w:rPr>
          <w:rFonts w:ascii="Times New Roman" w:hAnsi="Times New Roman" w:cs="Times New Roman"/>
          <w:sz w:val="20"/>
          <w:szCs w:val="20"/>
        </w:rPr>
        <w:t>Johnson</w:t>
      </w:r>
      <w:r>
        <w:rPr>
          <w:rFonts w:ascii="Times New Roman" w:hAnsi="Times New Roman" w:cs="Times New Roman"/>
          <w:sz w:val="20"/>
          <w:szCs w:val="20"/>
        </w:rPr>
        <w:t>, K. (</w:t>
      </w:r>
      <w:r w:rsidRPr="00EB481E">
        <w:rPr>
          <w:rFonts w:ascii="Times New Roman" w:hAnsi="Times New Roman" w:cs="Times New Roman"/>
          <w:sz w:val="20"/>
          <w:szCs w:val="20"/>
        </w:rPr>
        <w:t>2004</w:t>
      </w:r>
      <w:r>
        <w:rPr>
          <w:rFonts w:ascii="Times New Roman" w:hAnsi="Times New Roman" w:cs="Times New Roman"/>
          <w:sz w:val="20"/>
          <w:szCs w:val="20"/>
        </w:rPr>
        <w:t>).</w:t>
      </w:r>
      <w:r w:rsidRPr="00EB481E">
        <w:rPr>
          <w:rFonts w:ascii="Times New Roman" w:hAnsi="Times New Roman" w:cs="Times New Roman"/>
          <w:sz w:val="20"/>
          <w:szCs w:val="20"/>
        </w:rPr>
        <w:t xml:space="preserve"> The DHS Wealth Index. </w:t>
      </w:r>
      <w:r w:rsidRPr="00EB481E">
        <w:rPr>
          <w:rFonts w:ascii="Times New Roman" w:hAnsi="Times New Roman" w:cs="Times New Roman"/>
          <w:i/>
          <w:sz w:val="20"/>
          <w:szCs w:val="20"/>
        </w:rPr>
        <w:t>DHS Comparative Reports No. 6.</w:t>
      </w:r>
      <w:r w:rsidRPr="00EB481E">
        <w:rPr>
          <w:rFonts w:ascii="Times New Roman" w:hAnsi="Times New Roman" w:cs="Times New Roman"/>
          <w:sz w:val="20"/>
          <w:szCs w:val="20"/>
        </w:rPr>
        <w:t xml:space="preserve"> Calverton, Maryland: ORC Macro.</w:t>
      </w:r>
    </w:p>
    <w:p w14:paraId="4D2DCBED" w14:textId="6517B2BB"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Sahin, M. (2015). Tackling the stigma and gender marginalization related to menstruation via WASH in schools programmes. </w:t>
      </w:r>
      <w:r w:rsidRPr="009912CA">
        <w:rPr>
          <w:rFonts w:ascii="Times New Roman" w:eastAsia="Times New Roman" w:hAnsi="Times New Roman" w:cs="Times New Roman"/>
          <w:i/>
          <w:iCs/>
          <w:noProof/>
          <w:sz w:val="20"/>
          <w:szCs w:val="20"/>
        </w:rPr>
        <w:t>Waterlines</w:t>
      </w:r>
      <w:r w:rsidRPr="009912CA">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iCs/>
          <w:noProof/>
          <w:sz w:val="20"/>
          <w:szCs w:val="20"/>
        </w:rPr>
        <w:t>34</w:t>
      </w:r>
      <w:r w:rsidRPr="009912CA">
        <w:rPr>
          <w:rFonts w:ascii="Times New Roman" w:eastAsia="Times New Roman" w:hAnsi="Times New Roman" w:cs="Times New Roman"/>
          <w:noProof/>
          <w:sz w:val="20"/>
          <w:szCs w:val="20"/>
        </w:rPr>
        <w:t xml:space="preserve">(1), 3–6. </w:t>
      </w:r>
    </w:p>
    <w:p w14:paraId="70F524BA" w14:textId="743E8656"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Singh, S., Kandpal, S. D., &amp; Roy, D. (2011). Menstrual hygiene practices and RTI among ever-married women in rural slum, </w:t>
      </w:r>
      <w:r w:rsidRPr="009912CA">
        <w:rPr>
          <w:rFonts w:ascii="Times New Roman" w:eastAsia="Times New Roman" w:hAnsi="Times New Roman" w:cs="Times New Roman"/>
          <w:i/>
          <w:iCs/>
          <w:noProof/>
          <w:sz w:val="20"/>
          <w:szCs w:val="20"/>
        </w:rPr>
        <w:t>22</w:t>
      </w:r>
      <w:r w:rsidRPr="009912CA">
        <w:rPr>
          <w:rFonts w:ascii="Times New Roman" w:eastAsia="Times New Roman" w:hAnsi="Times New Roman" w:cs="Times New Roman"/>
          <w:noProof/>
          <w:sz w:val="20"/>
          <w:szCs w:val="20"/>
        </w:rPr>
        <w:t>(2), 2010–2012.</w:t>
      </w:r>
    </w:p>
    <w:p w14:paraId="078EE76A" w14:textId="77777777"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Sommer, M. (2010). Putting menstrual hygiene management on to the school water and sanitation agenda. </w:t>
      </w:r>
      <w:r w:rsidRPr="009912CA">
        <w:rPr>
          <w:rFonts w:ascii="Times New Roman" w:eastAsia="Times New Roman" w:hAnsi="Times New Roman" w:cs="Times New Roman"/>
          <w:i/>
          <w:iCs/>
          <w:noProof/>
          <w:sz w:val="20"/>
          <w:szCs w:val="20"/>
        </w:rPr>
        <w:t>Waterlines</w:t>
      </w:r>
      <w:r w:rsidRPr="009912CA">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iCs/>
          <w:noProof/>
          <w:sz w:val="20"/>
          <w:szCs w:val="20"/>
        </w:rPr>
        <w:t>29</w:t>
      </w:r>
      <w:r w:rsidRPr="009912CA">
        <w:rPr>
          <w:rFonts w:ascii="Times New Roman" w:eastAsia="Times New Roman" w:hAnsi="Times New Roman" w:cs="Times New Roman"/>
          <w:noProof/>
          <w:sz w:val="20"/>
          <w:szCs w:val="20"/>
        </w:rPr>
        <w:t>(4), 268–278.</w:t>
      </w:r>
    </w:p>
    <w:p w14:paraId="10507A18" w14:textId="07788301" w:rsidR="00D0403E" w:rsidRPr="00CA64D1"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Sommer, M., Caruso, B. A., Sahin, M.,</w:t>
      </w:r>
      <w:r w:rsidRPr="00CA64D1">
        <w:rPr>
          <w:rFonts w:ascii="Times New Roman" w:eastAsia="Times New Roman" w:hAnsi="Times New Roman" w:cs="Times New Roman"/>
          <w:noProof/>
          <w:sz w:val="20"/>
          <w:szCs w:val="20"/>
        </w:rPr>
        <w:t xml:space="preserve"> Calderon, T., Cavill, S., Mahon, T., &amp; Ph</w:t>
      </w:r>
      <w:r>
        <w:rPr>
          <w:rFonts w:ascii="Times New Roman" w:eastAsia="Times New Roman" w:hAnsi="Times New Roman" w:cs="Times New Roman"/>
          <w:noProof/>
          <w:sz w:val="20"/>
          <w:szCs w:val="20"/>
        </w:rPr>
        <w:t>illips-Howard, P. A. (2016). A time for global a</w:t>
      </w:r>
      <w:r w:rsidRPr="00CA64D1">
        <w:rPr>
          <w:rFonts w:ascii="Times New Roman" w:eastAsia="Times New Roman" w:hAnsi="Times New Roman" w:cs="Times New Roman"/>
          <w:noProof/>
          <w:sz w:val="20"/>
          <w:szCs w:val="20"/>
        </w:rPr>
        <w:t xml:space="preserve">ction: Addressing </w:t>
      </w:r>
      <w:r>
        <w:rPr>
          <w:rFonts w:ascii="Times New Roman" w:eastAsia="Times New Roman" w:hAnsi="Times New Roman" w:cs="Times New Roman"/>
          <w:noProof/>
          <w:sz w:val="20"/>
          <w:szCs w:val="20"/>
        </w:rPr>
        <w:t>girls’ m</w:t>
      </w:r>
      <w:r w:rsidRPr="00CA64D1">
        <w:rPr>
          <w:rFonts w:ascii="Times New Roman" w:eastAsia="Times New Roman" w:hAnsi="Times New Roman" w:cs="Times New Roman"/>
          <w:noProof/>
          <w:sz w:val="20"/>
          <w:szCs w:val="20"/>
        </w:rPr>
        <w:t xml:space="preserve">enstrual </w:t>
      </w:r>
      <w:r>
        <w:rPr>
          <w:rFonts w:ascii="Times New Roman" w:eastAsia="Times New Roman" w:hAnsi="Times New Roman" w:cs="Times New Roman"/>
          <w:noProof/>
          <w:sz w:val="20"/>
          <w:szCs w:val="20"/>
        </w:rPr>
        <w:t>h</w:t>
      </w:r>
      <w:r w:rsidRPr="00CA64D1">
        <w:rPr>
          <w:rFonts w:ascii="Times New Roman" w:eastAsia="Times New Roman" w:hAnsi="Times New Roman" w:cs="Times New Roman"/>
          <w:noProof/>
          <w:sz w:val="20"/>
          <w:szCs w:val="20"/>
        </w:rPr>
        <w:t xml:space="preserve">ygiene </w:t>
      </w:r>
      <w:r>
        <w:rPr>
          <w:rFonts w:ascii="Times New Roman" w:eastAsia="Times New Roman" w:hAnsi="Times New Roman" w:cs="Times New Roman"/>
          <w:noProof/>
          <w:sz w:val="20"/>
          <w:szCs w:val="20"/>
        </w:rPr>
        <w:t>management n</w:t>
      </w:r>
      <w:r w:rsidRPr="00CA64D1">
        <w:rPr>
          <w:rFonts w:ascii="Times New Roman" w:eastAsia="Times New Roman" w:hAnsi="Times New Roman" w:cs="Times New Roman"/>
          <w:noProof/>
          <w:sz w:val="20"/>
          <w:szCs w:val="20"/>
        </w:rPr>
        <w:t xml:space="preserve">eeds in </w:t>
      </w:r>
      <w:r>
        <w:rPr>
          <w:rFonts w:ascii="Times New Roman" w:eastAsia="Times New Roman" w:hAnsi="Times New Roman" w:cs="Times New Roman"/>
          <w:noProof/>
          <w:sz w:val="20"/>
          <w:szCs w:val="20"/>
        </w:rPr>
        <w:t>s</w:t>
      </w:r>
      <w:r w:rsidRPr="00CA64D1">
        <w:rPr>
          <w:rFonts w:ascii="Times New Roman" w:eastAsia="Times New Roman" w:hAnsi="Times New Roman" w:cs="Times New Roman"/>
          <w:noProof/>
          <w:sz w:val="20"/>
          <w:szCs w:val="20"/>
        </w:rPr>
        <w:t xml:space="preserve">chools. </w:t>
      </w:r>
      <w:r w:rsidRPr="00CA64D1">
        <w:rPr>
          <w:rFonts w:ascii="Times New Roman" w:eastAsia="Times New Roman" w:hAnsi="Times New Roman" w:cs="Times New Roman"/>
          <w:i/>
          <w:iCs/>
          <w:noProof/>
          <w:sz w:val="20"/>
          <w:szCs w:val="20"/>
        </w:rPr>
        <w:t>PLoS Medicine</w:t>
      </w:r>
      <w:r w:rsidRPr="00CA64D1">
        <w:rPr>
          <w:rFonts w:ascii="Times New Roman" w:eastAsia="Times New Roman" w:hAnsi="Times New Roman" w:cs="Times New Roman"/>
          <w:noProof/>
          <w:sz w:val="20"/>
          <w:szCs w:val="20"/>
        </w:rPr>
        <w:t xml:space="preserve">, </w:t>
      </w:r>
      <w:r w:rsidRPr="00CA64D1">
        <w:rPr>
          <w:rFonts w:ascii="Times New Roman" w:eastAsia="Times New Roman" w:hAnsi="Times New Roman" w:cs="Times New Roman"/>
          <w:i/>
          <w:iCs/>
          <w:noProof/>
          <w:sz w:val="20"/>
          <w:szCs w:val="20"/>
        </w:rPr>
        <w:t>13</w:t>
      </w:r>
      <w:r w:rsidRPr="00CA64D1">
        <w:rPr>
          <w:rFonts w:ascii="Times New Roman" w:eastAsia="Times New Roman" w:hAnsi="Times New Roman" w:cs="Times New Roman"/>
          <w:noProof/>
          <w:sz w:val="20"/>
          <w:szCs w:val="20"/>
        </w:rPr>
        <w:t>(2), e1001962. https://doi.org/10.1371/journal.pmed.1001962</w:t>
      </w:r>
    </w:p>
    <w:p w14:paraId="7A68A11D" w14:textId="35467A95"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Sommer, M., Hirsch, J. S., Nathanson, C., &amp; Parker, R. G. (2015). Comfortably, safely, and without shame: defining menstrual hygiene management as a public health issue. </w:t>
      </w:r>
      <w:r w:rsidRPr="009912CA">
        <w:rPr>
          <w:rFonts w:ascii="Times New Roman" w:eastAsia="Times New Roman" w:hAnsi="Times New Roman" w:cs="Times New Roman"/>
          <w:i/>
          <w:iCs/>
          <w:noProof/>
          <w:sz w:val="20"/>
          <w:szCs w:val="20"/>
        </w:rPr>
        <w:t>American Journal of Public Health</w:t>
      </w:r>
      <w:r w:rsidRPr="009912CA">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iCs/>
          <w:noProof/>
          <w:sz w:val="20"/>
          <w:szCs w:val="20"/>
        </w:rPr>
        <w:t>105</w:t>
      </w:r>
      <w:r w:rsidRPr="009912CA">
        <w:rPr>
          <w:rFonts w:ascii="Times New Roman" w:eastAsia="Times New Roman" w:hAnsi="Times New Roman" w:cs="Times New Roman"/>
          <w:noProof/>
          <w:sz w:val="20"/>
          <w:szCs w:val="20"/>
        </w:rPr>
        <w:t xml:space="preserve">(7), 1302–11. </w:t>
      </w:r>
    </w:p>
    <w:p w14:paraId="1AF9D0CB" w14:textId="6BD97757"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Sommer, M., &amp; Sahin, M. (2013). Overcoming the taboo: Advancing the global agenda for menstrual hygiene management for schoolgirls. </w:t>
      </w:r>
      <w:r w:rsidRPr="009912CA">
        <w:rPr>
          <w:rFonts w:ascii="Times New Roman" w:eastAsia="Times New Roman" w:hAnsi="Times New Roman" w:cs="Times New Roman"/>
          <w:i/>
          <w:iCs/>
          <w:noProof/>
          <w:sz w:val="20"/>
          <w:szCs w:val="20"/>
        </w:rPr>
        <w:t>American Journal of Public Health</w:t>
      </w:r>
      <w:r w:rsidRPr="009912CA">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iCs/>
          <w:noProof/>
          <w:sz w:val="20"/>
          <w:szCs w:val="20"/>
        </w:rPr>
        <w:t>103</w:t>
      </w:r>
      <w:r w:rsidRPr="009912CA">
        <w:rPr>
          <w:rFonts w:ascii="Times New Roman" w:eastAsia="Times New Roman" w:hAnsi="Times New Roman" w:cs="Times New Roman"/>
          <w:noProof/>
          <w:sz w:val="20"/>
          <w:szCs w:val="20"/>
        </w:rPr>
        <w:t>(9), 1556–1559.</w:t>
      </w:r>
    </w:p>
    <w:p w14:paraId="7CCBCDF0" w14:textId="10C431AB"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Sommer, M., Vasquez, E., Worthington, N., &amp; Sahin, M. (2012). </w:t>
      </w:r>
      <w:r w:rsidRPr="009912CA">
        <w:rPr>
          <w:rFonts w:ascii="Times New Roman" w:eastAsia="Times New Roman" w:hAnsi="Times New Roman" w:cs="Times New Roman"/>
          <w:i/>
          <w:iCs/>
          <w:noProof/>
          <w:sz w:val="20"/>
          <w:szCs w:val="20"/>
        </w:rPr>
        <w:t>WASH in schools empowers girls' education: Proceedings of the Menstrual Hygiene Management in Schools</w:t>
      </w:r>
      <w:r w:rsidRPr="009912CA">
        <w:rPr>
          <w:rFonts w:ascii="Times New Roman" w:eastAsia="Times New Roman" w:hAnsi="Times New Roman" w:cs="Times New Roman"/>
          <w:noProof/>
          <w:sz w:val="20"/>
          <w:szCs w:val="20"/>
        </w:rPr>
        <w:t>. New York.</w:t>
      </w:r>
    </w:p>
    <w:p w14:paraId="31A87A5B" w14:textId="51B21BF3"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Thakur, H., Aronsson, A., Bansode, S., Stalsby Lundborg, C., Dalvie, S., &amp; Faxelid, E. (2014). Knowledge, practices, and restrictions related to menstruation among young women from low socioeconomic community in Mumbai, India. </w:t>
      </w:r>
      <w:r w:rsidRPr="009912CA">
        <w:rPr>
          <w:rFonts w:ascii="Times New Roman" w:eastAsia="Times New Roman" w:hAnsi="Times New Roman" w:cs="Times New Roman"/>
          <w:i/>
          <w:iCs/>
          <w:noProof/>
          <w:sz w:val="20"/>
          <w:szCs w:val="20"/>
        </w:rPr>
        <w:t>Frontiers in Public Health</w:t>
      </w:r>
      <w:r w:rsidRPr="009912CA">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iCs/>
          <w:noProof/>
          <w:sz w:val="20"/>
          <w:szCs w:val="20"/>
        </w:rPr>
        <w:t>2</w:t>
      </w:r>
      <w:r w:rsidRPr="009912CA">
        <w:rPr>
          <w:rFonts w:ascii="Times New Roman" w:eastAsia="Times New Roman" w:hAnsi="Times New Roman" w:cs="Times New Roman"/>
          <w:noProof/>
          <w:sz w:val="20"/>
          <w:szCs w:val="20"/>
        </w:rPr>
        <w:t>, 72.</w:t>
      </w:r>
    </w:p>
    <w:p w14:paraId="276ACCCD" w14:textId="77777777"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Van Doorslaer, E., Wagstaff, A., Van der Burg, H., Christiansen, T., De Graeve, D., Duchesne, I., … Winkelhake, O. (2000). Equity in the delivery of health care in Europe and the US. </w:t>
      </w:r>
      <w:r w:rsidRPr="009912CA">
        <w:rPr>
          <w:rFonts w:ascii="Times New Roman" w:eastAsia="Times New Roman" w:hAnsi="Times New Roman" w:cs="Times New Roman"/>
          <w:i/>
          <w:iCs/>
          <w:noProof/>
          <w:sz w:val="20"/>
          <w:szCs w:val="20"/>
        </w:rPr>
        <w:t>Journal of Health Economics</w:t>
      </w:r>
      <w:r w:rsidRPr="009912CA">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iCs/>
          <w:noProof/>
          <w:sz w:val="20"/>
          <w:szCs w:val="20"/>
        </w:rPr>
        <w:t>19</w:t>
      </w:r>
      <w:r w:rsidRPr="009912CA">
        <w:rPr>
          <w:rFonts w:ascii="Times New Roman" w:eastAsia="Times New Roman" w:hAnsi="Times New Roman" w:cs="Times New Roman"/>
          <w:noProof/>
          <w:sz w:val="20"/>
          <w:szCs w:val="20"/>
        </w:rPr>
        <w:t>(5), 553–583.</w:t>
      </w:r>
    </w:p>
    <w:p w14:paraId="473FA2D9" w14:textId="38E72746"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 xml:space="preserve">Wagstaff, A., van Doorslaer, E., &amp; Watanabe, N. (2003). On decomposing the causes of health sector inequalities with an application to malnutrition inequalities in Vietnam. </w:t>
      </w:r>
      <w:r w:rsidRPr="009912CA">
        <w:rPr>
          <w:rFonts w:ascii="Times New Roman" w:eastAsia="Times New Roman" w:hAnsi="Times New Roman" w:cs="Times New Roman"/>
          <w:i/>
          <w:iCs/>
          <w:noProof/>
          <w:sz w:val="20"/>
          <w:szCs w:val="20"/>
        </w:rPr>
        <w:t>Journal of Econometrics</w:t>
      </w:r>
      <w:r w:rsidRPr="009912CA">
        <w:rPr>
          <w:rFonts w:ascii="Times New Roman" w:eastAsia="Times New Roman" w:hAnsi="Times New Roman" w:cs="Times New Roman"/>
          <w:noProof/>
          <w:sz w:val="20"/>
          <w:szCs w:val="20"/>
        </w:rPr>
        <w:t xml:space="preserve">, </w:t>
      </w:r>
      <w:r w:rsidRPr="009912CA">
        <w:rPr>
          <w:rFonts w:ascii="Times New Roman" w:eastAsia="Times New Roman" w:hAnsi="Times New Roman" w:cs="Times New Roman"/>
          <w:i/>
          <w:iCs/>
          <w:noProof/>
          <w:sz w:val="20"/>
          <w:szCs w:val="20"/>
        </w:rPr>
        <w:t>112</w:t>
      </w:r>
      <w:r w:rsidRPr="009912CA">
        <w:rPr>
          <w:rFonts w:ascii="Times New Roman" w:eastAsia="Times New Roman" w:hAnsi="Times New Roman" w:cs="Times New Roman"/>
          <w:noProof/>
          <w:sz w:val="20"/>
          <w:szCs w:val="20"/>
        </w:rPr>
        <w:t>(1), 207–223.</w:t>
      </w:r>
    </w:p>
    <w:p w14:paraId="6F573885" w14:textId="16DA74C9" w:rsidR="00D0403E" w:rsidRPr="009912CA" w:rsidRDefault="00D0403E" w:rsidP="00D0403E">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0"/>
          <w:szCs w:val="20"/>
        </w:rPr>
      </w:pPr>
      <w:r w:rsidRPr="009912CA">
        <w:rPr>
          <w:rFonts w:ascii="Times New Roman" w:eastAsia="Times New Roman" w:hAnsi="Times New Roman" w:cs="Times New Roman"/>
          <w:noProof/>
          <w:sz w:val="20"/>
          <w:szCs w:val="20"/>
        </w:rPr>
        <w:t>Wagstaff, A., &amp; Watanabe, N. (1999). Socioeconomic inequalities in child malnutrition in the developing world. Retrieved from http://papers.ssrn.com/abstract=632505</w:t>
      </w:r>
    </w:p>
    <w:p w14:paraId="5593CB15" w14:textId="48C0B292" w:rsidR="008F6163" w:rsidRPr="00892EE7" w:rsidRDefault="00D0403E" w:rsidP="002767EA">
      <w:pPr>
        <w:widowControl w:val="0"/>
        <w:autoSpaceDE w:val="0"/>
        <w:autoSpaceDN w:val="0"/>
        <w:adjustRightInd w:val="0"/>
        <w:spacing w:after="0" w:line="240" w:lineRule="auto"/>
        <w:ind w:left="567" w:hanging="567"/>
        <w:jc w:val="both"/>
        <w:rPr>
          <w:rFonts w:asciiTheme="minorBidi" w:hAnsiTheme="minorBidi"/>
          <w:sz w:val="24"/>
          <w:szCs w:val="24"/>
        </w:rPr>
      </w:pPr>
      <w:r w:rsidRPr="009912CA">
        <w:rPr>
          <w:rFonts w:ascii="Times New Roman" w:eastAsia="Times New Roman" w:hAnsi="Times New Roman" w:cs="Times New Roman"/>
          <w:noProof/>
          <w:sz w:val="20"/>
          <w:szCs w:val="20"/>
        </w:rPr>
        <w:t>Yagnik, A. S. (2014). Reframi</w:t>
      </w:r>
      <w:r w:rsidRPr="00CA64D1">
        <w:rPr>
          <w:rFonts w:ascii="Times New Roman" w:eastAsia="Times New Roman" w:hAnsi="Times New Roman" w:cs="Times New Roman"/>
          <w:noProof/>
          <w:sz w:val="20"/>
          <w:szCs w:val="20"/>
        </w:rPr>
        <w:t xml:space="preserve">ng menstruation in India: metamorphosis of the menstrual taboo with the changing media coverage. </w:t>
      </w:r>
      <w:r w:rsidRPr="00CA64D1">
        <w:rPr>
          <w:rFonts w:ascii="Times New Roman" w:eastAsia="Times New Roman" w:hAnsi="Times New Roman" w:cs="Times New Roman"/>
          <w:i/>
          <w:iCs/>
          <w:noProof/>
          <w:sz w:val="20"/>
          <w:szCs w:val="20"/>
        </w:rPr>
        <w:t>Health Care for Women International</w:t>
      </w:r>
      <w:r w:rsidRPr="00CA64D1">
        <w:rPr>
          <w:rFonts w:ascii="Times New Roman" w:eastAsia="Times New Roman" w:hAnsi="Times New Roman" w:cs="Times New Roman"/>
          <w:noProof/>
          <w:sz w:val="20"/>
          <w:szCs w:val="20"/>
        </w:rPr>
        <w:t xml:space="preserve">, </w:t>
      </w:r>
      <w:r w:rsidRPr="00CA64D1">
        <w:rPr>
          <w:rFonts w:ascii="Times New Roman" w:eastAsia="Times New Roman" w:hAnsi="Times New Roman" w:cs="Times New Roman"/>
          <w:i/>
          <w:iCs/>
          <w:noProof/>
          <w:sz w:val="20"/>
          <w:szCs w:val="20"/>
        </w:rPr>
        <w:t>35</w:t>
      </w:r>
      <w:r>
        <w:rPr>
          <w:rFonts w:ascii="Times New Roman" w:eastAsia="Times New Roman" w:hAnsi="Times New Roman" w:cs="Times New Roman"/>
          <w:noProof/>
          <w:sz w:val="20"/>
          <w:szCs w:val="20"/>
        </w:rPr>
        <w:t>(6), 617–633.</w:t>
      </w:r>
      <w:r w:rsidRPr="00CA64D1">
        <w:rPr>
          <w:rFonts w:asciiTheme="minorBidi" w:hAnsiTheme="minorBidi" w:cs="Times New Roman"/>
          <w:b/>
          <w:noProof/>
          <w:sz w:val="20"/>
          <w:szCs w:val="20"/>
        </w:rPr>
        <w:fldChar w:fldCharType="end"/>
      </w:r>
    </w:p>
    <w:sectPr w:rsidR="008F6163" w:rsidRPr="00892EE7" w:rsidSect="00FB1CB9">
      <w:headerReference w:type="even" r:id="rId11"/>
      <w:headerReference w:type="default" r:id="rId12"/>
      <w:footerReference w:type="even" r:id="rId13"/>
      <w:footerReference w:type="default" r:id="rId14"/>
      <w:headerReference w:type="first" r:id="rId15"/>
      <w:pgSz w:w="11907" w:h="16840" w:code="9"/>
      <w:pgMar w:top="1418" w:right="1418" w:bottom="1418" w:left="1701" w:header="851" w:footer="851" w:gutter="0"/>
      <w:pgNumType w:start="4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84CB4" w14:textId="77777777" w:rsidR="00B7318D" w:rsidRDefault="00B7318D" w:rsidP="00BE1B7E">
      <w:pPr>
        <w:spacing w:after="0" w:line="240" w:lineRule="auto"/>
      </w:pPr>
      <w:r>
        <w:separator/>
      </w:r>
    </w:p>
  </w:endnote>
  <w:endnote w:type="continuationSeparator" w:id="0">
    <w:p w14:paraId="34687985" w14:textId="77777777" w:rsidR="00B7318D" w:rsidRDefault="00B7318D" w:rsidP="00BE1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9254197"/>
      <w:docPartObj>
        <w:docPartGallery w:val="Page Numbers (Bottom of Page)"/>
        <w:docPartUnique/>
      </w:docPartObj>
    </w:sdtPr>
    <w:sdtEndPr>
      <w:rPr>
        <w:rFonts w:ascii="Times New Roman" w:hAnsi="Times New Roman" w:cs="Times New Roman"/>
        <w:noProof/>
        <w:sz w:val="18"/>
        <w:szCs w:val="18"/>
      </w:rPr>
    </w:sdtEndPr>
    <w:sdtContent>
      <w:p w14:paraId="088BAFD5" w14:textId="11F8AD1E" w:rsidR="00B7318D" w:rsidRPr="00FB1CB9" w:rsidRDefault="00B7318D" w:rsidP="00434328">
        <w:pPr>
          <w:pStyle w:val="Footer"/>
          <w:jc w:val="right"/>
          <w:rPr>
            <w:rFonts w:ascii="Times New Roman" w:hAnsi="Times New Roman" w:cs="Times New Roman"/>
            <w:sz w:val="18"/>
            <w:szCs w:val="18"/>
          </w:rPr>
        </w:pPr>
        <w:r w:rsidRPr="00FB1CB9">
          <w:rPr>
            <w:rFonts w:ascii="Times New Roman" w:hAnsi="Times New Roman" w:cs="Times New Roman"/>
            <w:sz w:val="18"/>
            <w:szCs w:val="18"/>
          </w:rPr>
          <w:fldChar w:fldCharType="begin"/>
        </w:r>
        <w:r w:rsidRPr="00FB1CB9">
          <w:rPr>
            <w:rFonts w:ascii="Times New Roman" w:hAnsi="Times New Roman" w:cs="Times New Roman"/>
            <w:sz w:val="18"/>
            <w:szCs w:val="18"/>
          </w:rPr>
          <w:instrText xml:space="preserve"> PAGE   \* MERGEFORMAT </w:instrText>
        </w:r>
        <w:r w:rsidRPr="00FB1CB9">
          <w:rPr>
            <w:rFonts w:ascii="Times New Roman" w:hAnsi="Times New Roman" w:cs="Times New Roman"/>
            <w:sz w:val="18"/>
            <w:szCs w:val="18"/>
          </w:rPr>
          <w:fldChar w:fldCharType="separate"/>
        </w:r>
        <w:r w:rsidR="003C0F60">
          <w:rPr>
            <w:rFonts w:ascii="Times New Roman" w:hAnsi="Times New Roman" w:cs="Times New Roman"/>
            <w:noProof/>
            <w:sz w:val="18"/>
            <w:szCs w:val="18"/>
          </w:rPr>
          <w:t>46</w:t>
        </w:r>
        <w:r w:rsidRPr="00FB1CB9">
          <w:rPr>
            <w:rFonts w:ascii="Times New Roman" w:hAnsi="Times New Roman" w:cs="Times New Roman"/>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804020"/>
      <w:docPartObj>
        <w:docPartGallery w:val="Page Numbers (Bottom of Page)"/>
        <w:docPartUnique/>
      </w:docPartObj>
    </w:sdtPr>
    <w:sdtEndPr>
      <w:rPr>
        <w:rFonts w:ascii="Times New Roman" w:hAnsi="Times New Roman" w:cs="Times New Roman"/>
        <w:noProof/>
        <w:sz w:val="18"/>
        <w:szCs w:val="18"/>
      </w:rPr>
    </w:sdtEndPr>
    <w:sdtContent>
      <w:p w14:paraId="035CD1B7" w14:textId="37FC671A" w:rsidR="00B7318D" w:rsidRPr="00434328" w:rsidRDefault="00B7318D" w:rsidP="00434328">
        <w:pPr>
          <w:pStyle w:val="Footer"/>
          <w:jc w:val="right"/>
          <w:rPr>
            <w:rFonts w:ascii="Times New Roman" w:hAnsi="Times New Roman" w:cs="Times New Roman"/>
            <w:sz w:val="18"/>
            <w:szCs w:val="18"/>
          </w:rPr>
        </w:pPr>
        <w:r w:rsidRPr="00434328">
          <w:rPr>
            <w:rFonts w:ascii="Times New Roman" w:hAnsi="Times New Roman" w:cs="Times New Roman"/>
            <w:sz w:val="18"/>
            <w:szCs w:val="18"/>
          </w:rPr>
          <w:fldChar w:fldCharType="begin"/>
        </w:r>
        <w:r w:rsidRPr="00434328">
          <w:rPr>
            <w:rFonts w:ascii="Times New Roman" w:hAnsi="Times New Roman" w:cs="Times New Roman"/>
            <w:sz w:val="18"/>
            <w:szCs w:val="18"/>
          </w:rPr>
          <w:instrText xml:space="preserve"> PAGE   \* MERGEFORMAT </w:instrText>
        </w:r>
        <w:r w:rsidRPr="00434328">
          <w:rPr>
            <w:rFonts w:ascii="Times New Roman" w:hAnsi="Times New Roman" w:cs="Times New Roman"/>
            <w:sz w:val="18"/>
            <w:szCs w:val="18"/>
          </w:rPr>
          <w:fldChar w:fldCharType="separate"/>
        </w:r>
        <w:r w:rsidR="003C0F60">
          <w:rPr>
            <w:rFonts w:ascii="Times New Roman" w:hAnsi="Times New Roman" w:cs="Times New Roman"/>
            <w:noProof/>
            <w:sz w:val="18"/>
            <w:szCs w:val="18"/>
          </w:rPr>
          <w:t>55</w:t>
        </w:r>
        <w:r w:rsidRPr="00434328">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CC334" w14:textId="77777777" w:rsidR="00B7318D" w:rsidRDefault="00B7318D" w:rsidP="00BE1B7E">
      <w:pPr>
        <w:spacing w:after="0" w:line="240" w:lineRule="auto"/>
      </w:pPr>
      <w:r>
        <w:separator/>
      </w:r>
    </w:p>
  </w:footnote>
  <w:footnote w:type="continuationSeparator" w:id="0">
    <w:p w14:paraId="3392CF07" w14:textId="77777777" w:rsidR="00B7318D" w:rsidRDefault="00B7318D" w:rsidP="00BE1B7E">
      <w:pPr>
        <w:spacing w:after="0" w:line="240" w:lineRule="auto"/>
      </w:pPr>
      <w:r>
        <w:continuationSeparator/>
      </w:r>
    </w:p>
  </w:footnote>
  <w:footnote w:id="1">
    <w:p w14:paraId="02D833A0" w14:textId="60263DEB" w:rsidR="00B7318D" w:rsidRPr="00BE1B7E" w:rsidRDefault="00B7318D" w:rsidP="006C7509">
      <w:pPr>
        <w:pStyle w:val="FootnoteText"/>
        <w:spacing w:after="120"/>
        <w:jc w:val="both"/>
        <w:rPr>
          <w:lang w:val="en-IN"/>
        </w:rPr>
      </w:pPr>
      <w:r w:rsidRPr="00BE1B7E">
        <w:rPr>
          <w:rStyle w:val="FootnoteReference"/>
        </w:rPr>
        <w:sym w:font="Symbol" w:char="F02A"/>
      </w:r>
      <w:r>
        <w:t xml:space="preserve"> </w:t>
      </w:r>
      <w:r w:rsidRPr="00BC42D9">
        <w:rPr>
          <w:rFonts w:ascii="Times New Roman" w:hAnsi="Times New Roman" w:cs="Times New Roman"/>
          <w:sz w:val="18"/>
          <w:szCs w:val="18"/>
        </w:rPr>
        <w:t xml:space="preserve">Jayakant Singh, Doctoral Fellow, Tata Institute of Social Sciences, </w:t>
      </w:r>
      <w:r w:rsidRPr="0056087D">
        <w:rPr>
          <w:rFonts w:ascii="Times New Roman" w:hAnsi="Times New Roman" w:cs="Times New Roman"/>
          <w:sz w:val="18"/>
          <w:szCs w:val="18"/>
        </w:rPr>
        <w:t xml:space="preserve">V. N. </w:t>
      </w:r>
      <w:r>
        <w:rPr>
          <w:rFonts w:ascii="Times New Roman" w:hAnsi="Times New Roman" w:cs="Times New Roman"/>
          <w:sz w:val="18"/>
          <w:szCs w:val="18"/>
        </w:rPr>
        <w:t xml:space="preserve">Purav Marg, </w:t>
      </w:r>
      <w:r w:rsidRPr="00BC42D9">
        <w:rPr>
          <w:rFonts w:ascii="Times New Roman" w:hAnsi="Times New Roman" w:cs="Times New Roman"/>
          <w:sz w:val="18"/>
          <w:szCs w:val="18"/>
        </w:rPr>
        <w:t>Deonar, Mumbai 400088. Email:</w:t>
      </w:r>
      <w:r w:rsidRPr="00BC42D9">
        <w:rPr>
          <w:rFonts w:ascii="Arial" w:hAnsi="Arial" w:cs="Arial"/>
          <w:sz w:val="18"/>
          <w:szCs w:val="18"/>
          <w:shd w:val="clear" w:color="auto" w:fill="FFFFFF"/>
        </w:rPr>
        <w:t xml:space="preserve"> </w:t>
      </w:r>
      <w:hyperlink r:id="rId1" w:history="1">
        <w:r w:rsidRPr="00BE1B7E">
          <w:rPr>
            <w:rStyle w:val="Hyperlink"/>
            <w:rFonts w:ascii="Times New Roman" w:hAnsi="Times New Roman" w:cs="Times New Roman"/>
            <w:color w:val="auto"/>
            <w:sz w:val="18"/>
            <w:szCs w:val="18"/>
            <w:u w:val="none"/>
            <w:shd w:val="clear" w:color="auto" w:fill="FFFFFF"/>
          </w:rPr>
          <w:t>singhjayakant.tiss@gmail.com</w:t>
        </w:r>
      </w:hyperlink>
    </w:p>
  </w:footnote>
  <w:footnote w:id="2">
    <w:p w14:paraId="518ACDE7" w14:textId="7720DF50" w:rsidR="00B7318D" w:rsidRPr="006E22C9" w:rsidRDefault="00B7318D" w:rsidP="006C7509">
      <w:pPr>
        <w:spacing w:after="120" w:line="240" w:lineRule="auto"/>
        <w:jc w:val="both"/>
        <w:rPr>
          <w:rFonts w:ascii="Times New Roman" w:hAnsi="Times New Roman" w:cs="Times New Roman"/>
          <w:sz w:val="18"/>
          <w:szCs w:val="18"/>
          <w:shd w:val="clear" w:color="auto" w:fill="FFFFFF"/>
        </w:rPr>
      </w:pPr>
      <w:r w:rsidRPr="00BE1B7E">
        <w:rPr>
          <w:rStyle w:val="FootnoteReference"/>
        </w:rPr>
        <w:sym w:font="Symbol" w:char="F02A"/>
      </w:r>
      <w:r w:rsidRPr="00BE1B7E">
        <w:rPr>
          <w:rStyle w:val="FootnoteReference"/>
        </w:rPr>
        <w:sym w:font="Symbol" w:char="F02A"/>
      </w:r>
      <w:r>
        <w:t xml:space="preserve"> </w:t>
      </w:r>
      <w:r w:rsidRPr="00BC42D9">
        <w:rPr>
          <w:rFonts w:ascii="Times New Roman" w:hAnsi="Times New Roman" w:cs="Times New Roman"/>
          <w:sz w:val="18"/>
          <w:szCs w:val="18"/>
        </w:rPr>
        <w:t xml:space="preserve">Enu Anand, Doctoral Fellow, International Institute for Population Sciences, Govandi Station Road, Deonar, Mumbai </w:t>
      </w:r>
      <w:bookmarkStart w:id="0" w:name="_GoBack"/>
      <w:r w:rsidRPr="00BC42D9">
        <w:rPr>
          <w:rFonts w:ascii="Times New Roman" w:hAnsi="Times New Roman" w:cs="Times New Roman"/>
          <w:sz w:val="18"/>
          <w:szCs w:val="18"/>
        </w:rPr>
        <w:t>400088. Email: enuanand2007@gmail.com</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D3DA3" w14:textId="745DA433" w:rsidR="00B7318D" w:rsidRPr="001C2AAF" w:rsidRDefault="00B7318D">
    <w:pPr>
      <w:pStyle w:val="Header"/>
      <w:rPr>
        <w:rFonts w:ascii="Times New Roman" w:hAnsi="Times New Roman" w:cs="Times New Roman"/>
        <w:i/>
        <w:sz w:val="18"/>
        <w:szCs w:val="18"/>
        <w:lang w:val="en-IN"/>
      </w:rPr>
    </w:pPr>
    <w:r w:rsidRPr="001C2AAF">
      <w:rPr>
        <w:rFonts w:ascii="Times New Roman" w:hAnsi="Times New Roman" w:cs="Times New Roman"/>
        <w:i/>
        <w:sz w:val="18"/>
        <w:szCs w:val="18"/>
        <w:lang w:val="en-IN"/>
      </w:rPr>
      <w:t xml:space="preserve">March 2018 </w:t>
    </w:r>
    <w:r>
      <w:rPr>
        <w:rFonts w:ascii="Times New Roman" w:hAnsi="Times New Roman" w:cs="Times New Roman"/>
        <w:i/>
        <w:sz w:val="18"/>
        <w:szCs w:val="18"/>
        <w:lang w:val="en-IN"/>
      </w:rPr>
      <w:t xml:space="preserve">                                                                                                                                       </w:t>
    </w:r>
    <w:r w:rsidRPr="001C2AAF">
      <w:rPr>
        <w:rFonts w:ascii="Times New Roman" w:hAnsi="Times New Roman" w:cs="Times New Roman"/>
        <w:i/>
        <w:sz w:val="18"/>
        <w:szCs w:val="18"/>
        <w:lang w:val="en-IN"/>
      </w:rPr>
      <w:t>Social Science Spectrum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26D1D" w14:textId="685B839D" w:rsidR="00B7318D" w:rsidRPr="002767EA" w:rsidRDefault="00B7318D" w:rsidP="001C2AAF">
    <w:pPr>
      <w:pStyle w:val="Header"/>
      <w:rPr>
        <w:i/>
        <w:sz w:val="18"/>
        <w:szCs w:val="18"/>
      </w:rPr>
    </w:pPr>
    <w:r w:rsidRPr="002767EA">
      <w:rPr>
        <w:rFonts w:asciiTheme="minorBidi" w:eastAsia="Times New Roman" w:hAnsiTheme="minorBidi" w:cs="Times New Roman"/>
        <w:bCs/>
        <w:i/>
        <w:sz w:val="18"/>
        <w:szCs w:val="18"/>
        <w:shd w:val="clear" w:color="auto" w:fill="FFFFFF"/>
        <w:lang w:eastAsia="en-GB"/>
      </w:rPr>
      <w:t>Singh &amp; Anand                                                                                               Barriers to Hygienic Menstrual Absorbent Use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27D03" w14:textId="77777777" w:rsidR="00B7318D" w:rsidRDefault="00B7318D" w:rsidP="001C2AAF">
    <w:pPr>
      <w:pStyle w:val="Body"/>
      <w:tabs>
        <w:tab w:val="center" w:pos="4513"/>
        <w:tab w:val="right" w:pos="8739"/>
      </w:tabs>
      <w:spacing w:after="0" w:line="240" w:lineRule="auto"/>
      <w:rPr>
        <w:sz w:val="18"/>
        <w:szCs w:val="18"/>
      </w:rPr>
    </w:pPr>
    <w:r>
      <w:rPr>
        <w:i/>
        <w:iCs/>
        <w:sz w:val="18"/>
        <w:szCs w:val="18"/>
      </w:rPr>
      <w:t xml:space="preserve">Social Science Spectrum                                                                                                                                </w:t>
    </w:r>
    <w:r>
      <w:rPr>
        <w:sz w:val="18"/>
        <w:szCs w:val="18"/>
      </w:rPr>
      <w:t>ISSN 2454-2806</w:t>
    </w:r>
  </w:p>
  <w:p w14:paraId="6172B747" w14:textId="787BD8D3" w:rsidR="00B7318D" w:rsidRDefault="00B7318D" w:rsidP="001C2AAF">
    <w:pPr>
      <w:pStyle w:val="Body"/>
      <w:tabs>
        <w:tab w:val="center" w:pos="4513"/>
        <w:tab w:val="right" w:pos="8739"/>
      </w:tabs>
      <w:spacing w:after="0" w:line="240" w:lineRule="auto"/>
      <w:rPr>
        <w:i/>
        <w:iCs/>
        <w:sz w:val="16"/>
        <w:szCs w:val="16"/>
      </w:rPr>
    </w:pPr>
    <w:r>
      <w:rPr>
        <w:i/>
        <w:iCs/>
        <w:sz w:val="16"/>
        <w:szCs w:val="16"/>
      </w:rPr>
      <w:t>Vol. 4, No. 1, March 2018, pp. 45-55</w:t>
    </w:r>
  </w:p>
  <w:p w14:paraId="047AFC7A" w14:textId="4AE1F987" w:rsidR="00B7318D" w:rsidRPr="001C2AAF" w:rsidRDefault="00B7318D" w:rsidP="001C2AAF">
    <w:pPr>
      <w:pStyle w:val="Header"/>
      <w:rPr>
        <w:rFonts w:ascii="Times New Roman" w:hAnsi="Times New Roman" w:cs="Times New Roman"/>
        <w:sz w:val="16"/>
        <w:szCs w:val="16"/>
      </w:rPr>
    </w:pPr>
  </w:p>
  <w:p w14:paraId="5A2E8649" w14:textId="77777777" w:rsidR="00B7318D" w:rsidRPr="001C2AAF" w:rsidRDefault="00B7318D" w:rsidP="001C2AAF">
    <w:pPr>
      <w:pStyle w:val="Header"/>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9C7"/>
    <w:multiLevelType w:val="hybridMultilevel"/>
    <w:tmpl w:val="C4E29CFC"/>
    <w:lvl w:ilvl="0" w:tplc="40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541ECD"/>
    <w:multiLevelType w:val="hybridMultilevel"/>
    <w:tmpl w:val="AC5CE3BA"/>
    <w:lvl w:ilvl="0" w:tplc="4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87566C"/>
    <w:multiLevelType w:val="hybridMultilevel"/>
    <w:tmpl w:val="7242BB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1B5FCF"/>
    <w:multiLevelType w:val="hybridMultilevel"/>
    <w:tmpl w:val="C80ADB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6D2"/>
    <w:rsid w:val="000118F3"/>
    <w:rsid w:val="0001736E"/>
    <w:rsid w:val="000411E0"/>
    <w:rsid w:val="00047039"/>
    <w:rsid w:val="0005479F"/>
    <w:rsid w:val="000848CE"/>
    <w:rsid w:val="000F5A0C"/>
    <w:rsid w:val="00101873"/>
    <w:rsid w:val="00106304"/>
    <w:rsid w:val="001217C6"/>
    <w:rsid w:val="00127C2A"/>
    <w:rsid w:val="00155379"/>
    <w:rsid w:val="001563E2"/>
    <w:rsid w:val="00173289"/>
    <w:rsid w:val="00184424"/>
    <w:rsid w:val="001965B5"/>
    <w:rsid w:val="001C2AAF"/>
    <w:rsid w:val="001D544E"/>
    <w:rsid w:val="001E75D8"/>
    <w:rsid w:val="00211495"/>
    <w:rsid w:val="00220B5B"/>
    <w:rsid w:val="00261341"/>
    <w:rsid w:val="00261F3A"/>
    <w:rsid w:val="0026632E"/>
    <w:rsid w:val="00274444"/>
    <w:rsid w:val="002767EA"/>
    <w:rsid w:val="00293394"/>
    <w:rsid w:val="00296A26"/>
    <w:rsid w:val="002A1838"/>
    <w:rsid w:val="002A4CE5"/>
    <w:rsid w:val="002A5C58"/>
    <w:rsid w:val="002B35B8"/>
    <w:rsid w:val="002B7830"/>
    <w:rsid w:val="002E66D2"/>
    <w:rsid w:val="00305941"/>
    <w:rsid w:val="00321C7C"/>
    <w:rsid w:val="00362072"/>
    <w:rsid w:val="00363873"/>
    <w:rsid w:val="00374F57"/>
    <w:rsid w:val="00394557"/>
    <w:rsid w:val="003A2C11"/>
    <w:rsid w:val="003C0F60"/>
    <w:rsid w:val="003D5AD5"/>
    <w:rsid w:val="003E348F"/>
    <w:rsid w:val="003E601E"/>
    <w:rsid w:val="003F246F"/>
    <w:rsid w:val="003F442A"/>
    <w:rsid w:val="00417F2F"/>
    <w:rsid w:val="00434328"/>
    <w:rsid w:val="0045510A"/>
    <w:rsid w:val="0045695D"/>
    <w:rsid w:val="00474E2F"/>
    <w:rsid w:val="004B2F02"/>
    <w:rsid w:val="004D74FA"/>
    <w:rsid w:val="004E12A7"/>
    <w:rsid w:val="004E304C"/>
    <w:rsid w:val="004E7255"/>
    <w:rsid w:val="005127DD"/>
    <w:rsid w:val="00542D38"/>
    <w:rsid w:val="005449BA"/>
    <w:rsid w:val="00552F27"/>
    <w:rsid w:val="00553686"/>
    <w:rsid w:val="0056149B"/>
    <w:rsid w:val="005615BA"/>
    <w:rsid w:val="005704A0"/>
    <w:rsid w:val="00580682"/>
    <w:rsid w:val="00581640"/>
    <w:rsid w:val="005B4724"/>
    <w:rsid w:val="005D60A6"/>
    <w:rsid w:val="005E1915"/>
    <w:rsid w:val="005E235D"/>
    <w:rsid w:val="005E2A6F"/>
    <w:rsid w:val="00613585"/>
    <w:rsid w:val="00637CA9"/>
    <w:rsid w:val="0065395A"/>
    <w:rsid w:val="00656706"/>
    <w:rsid w:val="0069176B"/>
    <w:rsid w:val="006A0E7F"/>
    <w:rsid w:val="006C7509"/>
    <w:rsid w:val="006E22C9"/>
    <w:rsid w:val="006F1942"/>
    <w:rsid w:val="006F73E3"/>
    <w:rsid w:val="00726928"/>
    <w:rsid w:val="00733A03"/>
    <w:rsid w:val="00740FFC"/>
    <w:rsid w:val="00761700"/>
    <w:rsid w:val="00775D91"/>
    <w:rsid w:val="00786E6B"/>
    <w:rsid w:val="00790042"/>
    <w:rsid w:val="007A149A"/>
    <w:rsid w:val="007B7CBD"/>
    <w:rsid w:val="007C14F8"/>
    <w:rsid w:val="007C48FA"/>
    <w:rsid w:val="007C4AD7"/>
    <w:rsid w:val="007F2B55"/>
    <w:rsid w:val="007F6954"/>
    <w:rsid w:val="00863F0A"/>
    <w:rsid w:val="00891C25"/>
    <w:rsid w:val="00892EE7"/>
    <w:rsid w:val="008C2835"/>
    <w:rsid w:val="008F6163"/>
    <w:rsid w:val="00900B99"/>
    <w:rsid w:val="0091258C"/>
    <w:rsid w:val="00925CEA"/>
    <w:rsid w:val="009511B7"/>
    <w:rsid w:val="00953DC1"/>
    <w:rsid w:val="0097172F"/>
    <w:rsid w:val="00973096"/>
    <w:rsid w:val="00992E2D"/>
    <w:rsid w:val="009B1AF2"/>
    <w:rsid w:val="009D6B6E"/>
    <w:rsid w:val="009F31BA"/>
    <w:rsid w:val="00A10B73"/>
    <w:rsid w:val="00A141F2"/>
    <w:rsid w:val="00A4243B"/>
    <w:rsid w:val="00A46FCF"/>
    <w:rsid w:val="00A64B18"/>
    <w:rsid w:val="00AB0023"/>
    <w:rsid w:val="00AF601B"/>
    <w:rsid w:val="00AF6774"/>
    <w:rsid w:val="00B33161"/>
    <w:rsid w:val="00B36F77"/>
    <w:rsid w:val="00B638CC"/>
    <w:rsid w:val="00B6425D"/>
    <w:rsid w:val="00B71FBE"/>
    <w:rsid w:val="00B7318D"/>
    <w:rsid w:val="00BB50E0"/>
    <w:rsid w:val="00BC36F7"/>
    <w:rsid w:val="00BE1B7E"/>
    <w:rsid w:val="00BE232B"/>
    <w:rsid w:val="00BE49D7"/>
    <w:rsid w:val="00BE5B23"/>
    <w:rsid w:val="00C12122"/>
    <w:rsid w:val="00C313A9"/>
    <w:rsid w:val="00C41D3C"/>
    <w:rsid w:val="00C425B5"/>
    <w:rsid w:val="00C74367"/>
    <w:rsid w:val="00C85E46"/>
    <w:rsid w:val="00CA4228"/>
    <w:rsid w:val="00CA64D1"/>
    <w:rsid w:val="00CC63D5"/>
    <w:rsid w:val="00CD25B7"/>
    <w:rsid w:val="00D03F30"/>
    <w:rsid w:val="00D0403E"/>
    <w:rsid w:val="00D150B5"/>
    <w:rsid w:val="00D3332F"/>
    <w:rsid w:val="00D34962"/>
    <w:rsid w:val="00D42E39"/>
    <w:rsid w:val="00D45545"/>
    <w:rsid w:val="00D72F1C"/>
    <w:rsid w:val="00D85D6F"/>
    <w:rsid w:val="00D87A74"/>
    <w:rsid w:val="00DB2CD3"/>
    <w:rsid w:val="00DC0FC0"/>
    <w:rsid w:val="00DC3B93"/>
    <w:rsid w:val="00DD6D41"/>
    <w:rsid w:val="00DE623B"/>
    <w:rsid w:val="00DF3D4B"/>
    <w:rsid w:val="00E27D14"/>
    <w:rsid w:val="00E37F6F"/>
    <w:rsid w:val="00E81A05"/>
    <w:rsid w:val="00E933F4"/>
    <w:rsid w:val="00EB481E"/>
    <w:rsid w:val="00EC10D8"/>
    <w:rsid w:val="00F04AE3"/>
    <w:rsid w:val="00F131A2"/>
    <w:rsid w:val="00F158B1"/>
    <w:rsid w:val="00F21639"/>
    <w:rsid w:val="00F223FF"/>
    <w:rsid w:val="00F43C07"/>
    <w:rsid w:val="00F63D44"/>
    <w:rsid w:val="00F83B73"/>
    <w:rsid w:val="00F86E68"/>
    <w:rsid w:val="00F94F5D"/>
    <w:rsid w:val="00FB0C2E"/>
    <w:rsid w:val="00FB15E3"/>
    <w:rsid w:val="00FB1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C02E0"/>
  <w15:docId w15:val="{39D7497B-A759-4544-A867-CE82953BD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6D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6D2"/>
    <w:pPr>
      <w:ind w:left="720"/>
      <w:contextualSpacing/>
    </w:pPr>
    <w:rPr>
      <w:lang w:val="en-US"/>
    </w:rPr>
  </w:style>
  <w:style w:type="paragraph" w:styleId="BalloonText">
    <w:name w:val="Balloon Text"/>
    <w:basedOn w:val="Normal"/>
    <w:link w:val="BalloonTextChar"/>
    <w:uiPriority w:val="99"/>
    <w:semiHidden/>
    <w:unhideWhenUsed/>
    <w:rsid w:val="003F44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42A"/>
    <w:rPr>
      <w:rFonts w:ascii="Segoe UI" w:hAnsi="Segoe UI" w:cs="Segoe UI"/>
      <w:sz w:val="18"/>
      <w:szCs w:val="18"/>
      <w:lang w:val="en-GB"/>
    </w:rPr>
  </w:style>
  <w:style w:type="paragraph" w:styleId="NoSpacing">
    <w:name w:val="No Spacing"/>
    <w:uiPriority w:val="1"/>
    <w:qFormat/>
    <w:rsid w:val="009511B7"/>
    <w:pPr>
      <w:spacing w:after="0" w:line="240" w:lineRule="auto"/>
    </w:pPr>
  </w:style>
  <w:style w:type="paragraph" w:styleId="FootnoteText">
    <w:name w:val="footnote text"/>
    <w:basedOn w:val="Normal"/>
    <w:link w:val="FootnoteTextChar"/>
    <w:uiPriority w:val="99"/>
    <w:semiHidden/>
    <w:unhideWhenUsed/>
    <w:rsid w:val="00BE1B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B7E"/>
    <w:rPr>
      <w:sz w:val="20"/>
      <w:szCs w:val="20"/>
      <w:lang w:val="en-GB"/>
    </w:rPr>
  </w:style>
  <w:style w:type="character" w:styleId="FootnoteReference">
    <w:name w:val="footnote reference"/>
    <w:basedOn w:val="DefaultParagraphFont"/>
    <w:uiPriority w:val="99"/>
    <w:semiHidden/>
    <w:unhideWhenUsed/>
    <w:rsid w:val="00BE1B7E"/>
    <w:rPr>
      <w:vertAlign w:val="superscript"/>
    </w:rPr>
  </w:style>
  <w:style w:type="character" w:styleId="Hyperlink">
    <w:name w:val="Hyperlink"/>
    <w:basedOn w:val="DefaultParagraphFont"/>
    <w:uiPriority w:val="99"/>
    <w:unhideWhenUsed/>
    <w:rsid w:val="00BE1B7E"/>
    <w:rPr>
      <w:color w:val="0563C1" w:themeColor="hyperlink"/>
      <w:u w:val="single"/>
    </w:rPr>
  </w:style>
  <w:style w:type="table" w:styleId="TableGrid">
    <w:name w:val="Table Grid"/>
    <w:basedOn w:val="TableNormal"/>
    <w:uiPriority w:val="39"/>
    <w:rsid w:val="002A5C58"/>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43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328"/>
    <w:rPr>
      <w:lang w:val="en-GB"/>
    </w:rPr>
  </w:style>
  <w:style w:type="paragraph" w:styleId="Footer">
    <w:name w:val="footer"/>
    <w:basedOn w:val="Normal"/>
    <w:link w:val="FooterChar"/>
    <w:uiPriority w:val="99"/>
    <w:unhideWhenUsed/>
    <w:rsid w:val="004343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328"/>
    <w:rPr>
      <w:lang w:val="en-GB"/>
    </w:rPr>
  </w:style>
  <w:style w:type="paragraph" w:customStyle="1" w:styleId="Body">
    <w:name w:val="Body"/>
    <w:rsid w:val="001C2AAF"/>
    <w:pPr>
      <w:pBdr>
        <w:top w:val="nil"/>
        <w:left w:val="nil"/>
        <w:bottom w:val="nil"/>
        <w:right w:val="nil"/>
        <w:between w:val="nil"/>
        <w:bar w:val="nil"/>
      </w:pBdr>
      <w:spacing w:after="200" w:line="276" w:lineRule="auto"/>
    </w:pPr>
    <w:rPr>
      <w:rFonts w:ascii="Times New Roman" w:eastAsia="Arial Unicode MS" w:hAnsi="Arial Unicode MS" w:cs="Arial Unicode MS"/>
      <w:color w:val="000000"/>
      <w:sz w:val="24"/>
      <w:szCs w:val="24"/>
      <w:u w:color="000000"/>
      <w:bdr w:val="nil"/>
      <w:lang w:val="de-DE"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394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singhjayakant.tis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33AFA-750C-4A94-94B9-F77A7E7CD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27124</Words>
  <Characters>154609</Characters>
  <Application>Microsoft Office Word</Application>
  <DocSecurity>0</DocSecurity>
  <Lines>1288</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Enu</dc:creator>
  <cp:lastModifiedBy>Nagarajan</cp:lastModifiedBy>
  <cp:revision>9</cp:revision>
  <dcterms:created xsi:type="dcterms:W3CDTF">2018-08-24T15:40:00Z</dcterms:created>
  <dcterms:modified xsi:type="dcterms:W3CDTF">2018-08-24T16:08:00Z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16th edition (author-date)</vt:lpwstr>
  </property>
  <property fmtid="{D5CDD505-2E9C-101B-9397-08002B2CF9AE}" pid="10" name="Mendeley Recent Style Id 3_1">
    <vt:lpwstr>http://www.zotero.org/styles/harvard1</vt:lpwstr>
  </property>
  <property fmtid="{D5CDD505-2E9C-101B-9397-08002B2CF9AE}" pid="11" name="Mendeley Recent Style Name 3_1">
    <vt:lpwstr>Harvard Reference format 1 (author-date)</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http://www.zotero.org/styles/iza-journal-of-migration</vt:lpwstr>
  </property>
  <property fmtid="{D5CDD505-2E9C-101B-9397-08002B2CF9AE}" pid="15" name="Mendeley Recent Style Name 5_1">
    <vt:lpwstr>IZA Journal of Migration</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http://www.zotero.org/styles/sage-harvard</vt:lpwstr>
  </property>
  <property fmtid="{D5CDD505-2E9C-101B-9397-08002B2CF9AE}" pid="19" name="Mendeley Recent Style Name 7_1">
    <vt:lpwstr>SAGE Harvard</vt:lpwstr>
  </property>
  <property fmtid="{D5CDD505-2E9C-101B-9397-08002B2CF9AE}" pid="20" name="Mendeley Recent Style Id 8_1">
    <vt:lpwstr>http://www.zotero.org/styles/springer-basic-author-date</vt:lpwstr>
  </property>
  <property fmtid="{D5CDD505-2E9C-101B-9397-08002B2CF9AE}" pid="21" name="Mendeley Recent Style Name 8_1">
    <vt:lpwstr>Springer Basic (author-date)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91840a9a-272a-3a1e-982f-4d4383513918</vt:lpwstr>
  </property>
</Properties>
</file>